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093"/>
        <w:gridCol w:w="1153"/>
        <w:gridCol w:w="1378"/>
        <w:gridCol w:w="1594"/>
        <w:gridCol w:w="21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64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乌鲁木齐天意百顺环卫设备有限公司</w:t>
            </w:r>
            <w:bookmarkEnd w:id="4"/>
          </w:p>
        </w:tc>
        <w:tc>
          <w:tcPr>
            <w:tcW w:w="159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8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E：23.07.01;29.10.07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O：23.07.01;29.10.07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何金宝</w:t>
            </w: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E:23.07.01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0"/>
              </w:rPr>
              <w:t>O:23.07.01</w:t>
            </w:r>
          </w:p>
        </w:tc>
        <w:tc>
          <w:tcPr>
            <w:tcW w:w="15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李凤仪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外协原材料——下料——钻孔——植毛——剪毛——检验——入库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关键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highlight w:val="none"/>
              </w:rPr>
              <w:t>过程是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highlight w:val="none"/>
                <w:lang w:eastAsia="zh-CN"/>
              </w:rPr>
              <w:t>钻孔、植毛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highlight w:val="none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无特殊过程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编制作业指导书等，作好日常作业监控记录。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重要环境因素：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</w:rPr>
              <w:t>噪声、固废排放、水电及原材料消耗、火灾爆炸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控制措施：《消防安全控制程序》《环境运行控制程序》、《节能降耗控制程序》等及目标指标和管理方案，火灾应急预案等。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不可接受风险的危险源：火灾/爆炸、机械伤害、高空坠落、职业病伤害、触电、物体打击；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控制措施：《危险源辨识和风险评价控制程序》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《安全工作管理程序》、《劳动保护用品管理程序》等及目标指标和管理方案，火灾、触电应急预案等。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lang w:val="en-US" w:eastAsia="zh-CN"/>
              </w:rPr>
              <w:t>DB34/T1986-2013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lang w:eastAsia="zh-CN"/>
              </w:rPr>
              <w:t>环卫车清扫刷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环境保护法、安全生产法、大气污染防治法等法律法规。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lang w:eastAsia="zh-CN"/>
              </w:rPr>
              <w:t>检验报告，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见附件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eastAsia="zh-CN"/>
        </w:rPr>
        <w:t>何金宝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2021.1.12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eastAsia="zh-CN"/>
        </w:rPr>
        <w:t>李凤仪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A25089"/>
    <w:rsid w:val="243E39E3"/>
    <w:rsid w:val="3AB36544"/>
    <w:rsid w:val="40227A77"/>
    <w:rsid w:val="42170835"/>
    <w:rsid w:val="4B9D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9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誰汻誰天荒地鮱</cp:lastModifiedBy>
  <dcterms:modified xsi:type="dcterms:W3CDTF">2021-01-13T05:23:50Z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