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9C1" w:rsidRDefault="005709C1">
      <w:pPr>
        <w:jc w:val="center"/>
        <w:rPr>
          <w:rFonts w:ascii="Times New Roman" w:hAnsi="Times New Roman" w:cs="Times New Roman"/>
        </w:rPr>
      </w:pPr>
    </w:p>
    <w:p w:rsidR="005709C1" w:rsidRDefault="005709C1">
      <w:pPr>
        <w:jc w:val="center"/>
        <w:rPr>
          <w:rFonts w:ascii="Times New Roman" w:hAnsi="Times New Roman" w:cs="Times New Roman"/>
        </w:rPr>
      </w:pPr>
    </w:p>
    <w:p w:rsidR="005709C1" w:rsidRDefault="005709C1">
      <w:pPr>
        <w:jc w:val="center"/>
        <w:rPr>
          <w:rFonts w:ascii="Times New Roman" w:hAnsi="Times New Roman" w:cs="Times New Roman"/>
        </w:rPr>
      </w:pPr>
    </w:p>
    <w:p w:rsidR="005709C1" w:rsidRDefault="005709C1">
      <w:pPr>
        <w:jc w:val="center"/>
        <w:rPr>
          <w:rFonts w:ascii="Times New Roman" w:hAnsi="Times New Roman" w:cs="Times New Roman"/>
        </w:rPr>
      </w:pPr>
    </w:p>
    <w:p w:rsidR="005709C1" w:rsidRDefault="000948A5">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9" cstate="print"/>
                    <a:srcRect/>
                    <a:stretch>
                      <a:fillRect/>
                    </a:stretch>
                  </pic:blipFill>
                  <pic:spPr>
                    <a:xfrm>
                      <a:off x="0" y="0"/>
                      <a:ext cx="1714500" cy="1901825"/>
                    </a:xfrm>
                    <a:prstGeom prst="rect">
                      <a:avLst/>
                    </a:prstGeom>
                    <a:noFill/>
                  </pic:spPr>
                </pic:pic>
              </a:graphicData>
            </a:graphic>
          </wp:anchor>
        </w:drawing>
      </w:r>
    </w:p>
    <w:p w:rsidR="005709C1" w:rsidRDefault="005709C1">
      <w:pPr>
        <w:jc w:val="center"/>
        <w:rPr>
          <w:rFonts w:ascii="Times New Roman" w:hAnsi="Times New Roman" w:cs="Times New Roman"/>
        </w:rPr>
      </w:pPr>
    </w:p>
    <w:p w:rsidR="005709C1" w:rsidRDefault="005709C1">
      <w:pPr>
        <w:jc w:val="center"/>
        <w:rPr>
          <w:rFonts w:ascii="Times New Roman" w:hAnsi="Times New Roman" w:cs="Times New Roman"/>
        </w:rPr>
      </w:pPr>
    </w:p>
    <w:p w:rsidR="005709C1" w:rsidRDefault="005709C1">
      <w:pPr>
        <w:jc w:val="center"/>
        <w:rPr>
          <w:rFonts w:ascii="Times New Roman" w:hAnsi="Times New Roman" w:cs="Times New Roman"/>
        </w:rPr>
      </w:pPr>
    </w:p>
    <w:p w:rsidR="005709C1" w:rsidRDefault="005709C1">
      <w:pPr>
        <w:jc w:val="center"/>
        <w:rPr>
          <w:rFonts w:ascii="Times New Roman" w:hAnsi="Times New Roman" w:cs="Times New Roman"/>
        </w:rPr>
      </w:pPr>
    </w:p>
    <w:p w:rsidR="005709C1" w:rsidRDefault="005709C1">
      <w:pPr>
        <w:rPr>
          <w:rFonts w:ascii="Times New Roman" w:hAnsi="Times New Roman" w:cs="Times New Roman"/>
        </w:rPr>
      </w:pPr>
    </w:p>
    <w:p w:rsidR="005709C1" w:rsidRDefault="005709C1">
      <w:pPr>
        <w:spacing w:line="0" w:lineRule="atLeast"/>
        <w:rPr>
          <w:rFonts w:ascii="Times New Roman" w:hAnsi="Times New Roman" w:cs="Times New Roman"/>
          <w:sz w:val="48"/>
        </w:rPr>
      </w:pPr>
    </w:p>
    <w:p w:rsidR="005709C1" w:rsidRDefault="005709C1">
      <w:pPr>
        <w:spacing w:line="0" w:lineRule="atLeast"/>
        <w:rPr>
          <w:rFonts w:ascii="Times New Roman" w:hAnsi="Times New Roman" w:cs="Times New Roman"/>
          <w:sz w:val="48"/>
        </w:rPr>
      </w:pPr>
    </w:p>
    <w:p w:rsidR="005709C1" w:rsidRDefault="005709C1">
      <w:pPr>
        <w:spacing w:line="0" w:lineRule="atLeast"/>
        <w:rPr>
          <w:rFonts w:ascii="Times New Roman" w:hAnsi="Times New Roman" w:cs="Times New Roman"/>
          <w:sz w:val="24"/>
          <w:szCs w:val="15"/>
        </w:rPr>
      </w:pPr>
    </w:p>
    <w:p w:rsidR="005709C1" w:rsidRDefault="005709C1">
      <w:pPr>
        <w:spacing w:line="500" w:lineRule="exact"/>
        <w:rPr>
          <w:rFonts w:ascii="Times New Roman" w:hAnsi="Times New Roman" w:cs="Times New Roman"/>
          <w:sz w:val="40"/>
          <w:szCs w:val="21"/>
        </w:rPr>
      </w:pPr>
    </w:p>
    <w:p w:rsidR="005709C1" w:rsidRDefault="000948A5">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5709C1" w:rsidRDefault="000948A5">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5709C1" w:rsidRDefault="000948A5">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5709C1" w:rsidRDefault="005709C1">
      <w:pPr>
        <w:widowControl/>
        <w:rPr>
          <w:rFonts w:ascii="Times New Roman" w:hAnsi="Times New Roman" w:cs="Times New Roman"/>
          <w:b/>
          <w:sz w:val="52"/>
          <w:szCs w:val="52"/>
        </w:rPr>
      </w:pPr>
    </w:p>
    <w:p w:rsidR="005709C1" w:rsidRDefault="005709C1">
      <w:pPr>
        <w:widowControl/>
        <w:rPr>
          <w:rFonts w:ascii="Times New Roman" w:hAnsi="Times New Roman" w:cs="Times New Roman"/>
          <w:b/>
          <w:sz w:val="52"/>
          <w:szCs w:val="52"/>
        </w:rPr>
      </w:pPr>
    </w:p>
    <w:p w:rsidR="005709C1" w:rsidRDefault="005709C1">
      <w:pPr>
        <w:widowControl/>
        <w:rPr>
          <w:rFonts w:ascii="Times New Roman" w:hAnsi="Times New Roman" w:cs="Times New Roman"/>
          <w:b/>
          <w:sz w:val="52"/>
          <w:szCs w:val="52"/>
        </w:rPr>
      </w:pPr>
    </w:p>
    <w:p w:rsidR="005709C1" w:rsidRDefault="005709C1">
      <w:pPr>
        <w:spacing w:line="365" w:lineRule="exact"/>
        <w:rPr>
          <w:rFonts w:ascii="Times New Roman" w:hAnsi="Times New Roman" w:cs="Times New Roman"/>
          <w:sz w:val="32"/>
          <w:szCs w:val="24"/>
        </w:rPr>
      </w:pPr>
    </w:p>
    <w:p w:rsidR="005709C1" w:rsidRDefault="005709C1">
      <w:pPr>
        <w:spacing w:line="365" w:lineRule="exact"/>
        <w:rPr>
          <w:rFonts w:ascii="Times New Roman" w:hAnsi="Times New Roman" w:cs="Times New Roman"/>
          <w:sz w:val="32"/>
        </w:rPr>
      </w:pPr>
    </w:p>
    <w:p w:rsidR="005709C1" w:rsidRDefault="000948A5">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东营市久诺尔石油设备有限公司</w:t>
      </w:r>
    </w:p>
    <w:p w:rsidR="005709C1" w:rsidRDefault="000948A5">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009</w:t>
      </w:r>
      <w:r>
        <w:rPr>
          <w:rFonts w:ascii="Times New Roman" w:hAnsi="Times New Roman" w:cs="Times New Roman"/>
          <w:sz w:val="32"/>
          <w:u w:val="single"/>
        </w:rPr>
        <w:t>-20</w:t>
      </w:r>
      <w:r>
        <w:rPr>
          <w:rFonts w:ascii="Times New Roman" w:hAnsi="Times New Roman" w:cs="Times New Roman" w:hint="eastAsia"/>
          <w:sz w:val="32"/>
          <w:u w:val="single"/>
        </w:rPr>
        <w:t>20</w:t>
      </w:r>
      <w:r>
        <w:rPr>
          <w:rFonts w:ascii="Times New Roman" w:hAnsi="Times New Roman" w:cs="Times New Roman"/>
          <w:sz w:val="32"/>
          <w:u w:val="single"/>
        </w:rPr>
        <w:t>-202</w:t>
      </w:r>
      <w:bookmarkEnd w:id="1"/>
      <w:r>
        <w:rPr>
          <w:rFonts w:ascii="Times New Roman" w:hAnsi="Times New Roman" w:cs="Times New Roman" w:hint="eastAsia"/>
          <w:sz w:val="32"/>
          <w:u w:val="single"/>
        </w:rPr>
        <w:t xml:space="preserve">1    </w:t>
      </w:r>
    </w:p>
    <w:p w:rsidR="005709C1" w:rsidRDefault="000948A5">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5709C1" w:rsidRDefault="005709C1">
      <w:pPr>
        <w:widowControl/>
        <w:spacing w:line="360" w:lineRule="auto"/>
        <w:ind w:right="360"/>
        <w:rPr>
          <w:rFonts w:ascii="Times New Roman" w:hAnsi="Times New Roman" w:cs="Times New Roman"/>
          <w:spacing w:val="80"/>
          <w:sz w:val="32"/>
        </w:rPr>
      </w:pPr>
    </w:p>
    <w:p w:rsidR="005709C1" w:rsidRDefault="005709C1">
      <w:pPr>
        <w:widowControl/>
        <w:spacing w:line="360" w:lineRule="auto"/>
        <w:ind w:right="360"/>
        <w:rPr>
          <w:rFonts w:ascii="Times New Roman" w:eastAsia="宋体" w:hAnsi="Times New Roman" w:cs="Times New Roman"/>
          <w:bCs/>
          <w:kern w:val="0"/>
          <w:sz w:val="18"/>
          <w:szCs w:val="18"/>
        </w:rPr>
      </w:pPr>
    </w:p>
    <w:p w:rsidR="005709C1" w:rsidRDefault="005709C1">
      <w:pPr>
        <w:widowControl/>
        <w:spacing w:line="360" w:lineRule="auto"/>
        <w:ind w:right="360"/>
        <w:rPr>
          <w:rFonts w:ascii="Times New Roman" w:eastAsia="宋体" w:hAnsi="Times New Roman" w:cs="Times New Roman"/>
          <w:bCs/>
          <w:kern w:val="0"/>
          <w:sz w:val="18"/>
          <w:szCs w:val="18"/>
        </w:rPr>
      </w:pPr>
    </w:p>
    <w:p w:rsidR="005709C1" w:rsidRDefault="005709C1">
      <w:pPr>
        <w:widowControl/>
        <w:spacing w:line="360" w:lineRule="auto"/>
        <w:ind w:right="360"/>
        <w:rPr>
          <w:rFonts w:ascii="Times New Roman" w:eastAsia="宋体" w:hAnsi="Times New Roman" w:cs="Times New Roman"/>
          <w:bCs/>
          <w:kern w:val="0"/>
          <w:sz w:val="18"/>
          <w:szCs w:val="18"/>
        </w:rPr>
      </w:pPr>
    </w:p>
    <w:p w:rsidR="005709C1" w:rsidRDefault="005709C1">
      <w:pPr>
        <w:widowControl/>
        <w:spacing w:line="360" w:lineRule="auto"/>
        <w:jc w:val="right"/>
        <w:rPr>
          <w:rFonts w:ascii="Times New Roman" w:eastAsia="宋体" w:hAnsi="Times New Roman" w:cs="Times New Roman"/>
          <w:bCs/>
          <w:kern w:val="0"/>
          <w:sz w:val="18"/>
          <w:szCs w:val="18"/>
        </w:rPr>
      </w:pPr>
    </w:p>
    <w:p w:rsidR="005709C1" w:rsidRDefault="000948A5">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009</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5709C1" w:rsidRDefault="000948A5">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10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3"/>
        <w:gridCol w:w="2977"/>
        <w:gridCol w:w="1892"/>
        <w:gridCol w:w="2412"/>
      </w:tblGrid>
      <w:tr w:rsidR="005709C1">
        <w:tc>
          <w:tcPr>
            <w:tcW w:w="1823"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2977" w:type="dxa"/>
            <w:noWrap/>
            <w:vAlign w:val="center"/>
          </w:tcPr>
          <w:p w:rsidR="005709C1" w:rsidRDefault="000948A5">
            <w:pPr>
              <w:tabs>
                <w:tab w:val="left" w:pos="880"/>
              </w:tabs>
              <w:autoSpaceDE w:val="0"/>
              <w:autoSpaceDN w:val="0"/>
              <w:adjustRightInd w:val="0"/>
              <w:spacing w:before="35" w:line="276" w:lineRule="auto"/>
              <w:ind w:right="161"/>
              <w:rPr>
                <w:rFonts w:ascii="宋体" w:eastAsia="宋体" w:cs="宋体"/>
                <w:kern w:val="0"/>
                <w:szCs w:val="21"/>
              </w:rPr>
            </w:pPr>
            <w:r>
              <w:rPr>
                <w:rFonts w:ascii="宋体" w:eastAsia="宋体" w:hAnsi="宋体" w:hint="eastAsia"/>
                <w:color w:val="000000"/>
                <w:szCs w:val="21"/>
              </w:rPr>
              <w:t>东营市久诺尔石油设备有限公司</w:t>
            </w:r>
          </w:p>
        </w:tc>
        <w:tc>
          <w:tcPr>
            <w:tcW w:w="1892"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412" w:type="dxa"/>
            <w:noWrap/>
            <w:vAlign w:val="center"/>
          </w:tcPr>
          <w:p w:rsidR="005709C1" w:rsidRDefault="000948A5">
            <w:pPr>
              <w:tabs>
                <w:tab w:val="left" w:pos="880"/>
              </w:tabs>
              <w:autoSpaceDE w:val="0"/>
              <w:autoSpaceDN w:val="0"/>
              <w:adjustRightInd w:val="0"/>
              <w:spacing w:before="35" w:line="360" w:lineRule="auto"/>
              <w:ind w:right="161"/>
              <w:rPr>
                <w:rFonts w:ascii="宋体" w:eastAsia="宋体" w:cs="宋体"/>
                <w:kern w:val="0"/>
                <w:szCs w:val="21"/>
              </w:rPr>
            </w:pPr>
            <w:r>
              <w:rPr>
                <w:rFonts w:ascii="宋体" w:eastAsia="宋体" w:cs="宋体" w:hint="eastAsia"/>
                <w:kern w:val="0"/>
                <w:szCs w:val="21"/>
              </w:rPr>
              <w:t>孙振英</w:t>
            </w:r>
          </w:p>
        </w:tc>
      </w:tr>
      <w:tr w:rsidR="005709C1">
        <w:tc>
          <w:tcPr>
            <w:tcW w:w="1823"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2977" w:type="dxa"/>
            <w:noWrap/>
          </w:tcPr>
          <w:p w:rsidR="005709C1" w:rsidRDefault="000948A5">
            <w:pPr>
              <w:tabs>
                <w:tab w:val="left" w:pos="880"/>
              </w:tabs>
              <w:autoSpaceDE w:val="0"/>
              <w:autoSpaceDN w:val="0"/>
              <w:adjustRightInd w:val="0"/>
              <w:spacing w:before="35" w:line="276" w:lineRule="auto"/>
              <w:ind w:right="161" w:firstLineChars="200" w:firstLine="420"/>
              <w:rPr>
                <w:rFonts w:ascii="宋体" w:eastAsia="宋体"/>
              </w:rPr>
            </w:pPr>
            <w:r>
              <w:rPr>
                <w:rFonts w:ascii="宋体" w:hAnsi="宋体" w:cs="宋体" w:hint="eastAsia"/>
                <w:kern w:val="0"/>
                <w:szCs w:val="21"/>
              </w:rPr>
              <w:t>ISC-2020-0631</w:t>
            </w:r>
          </w:p>
        </w:tc>
        <w:tc>
          <w:tcPr>
            <w:tcW w:w="1892" w:type="dxa"/>
            <w:noWrap/>
          </w:tcPr>
          <w:p w:rsidR="005709C1" w:rsidRDefault="000948A5">
            <w:pPr>
              <w:tabs>
                <w:tab w:val="left" w:pos="880"/>
              </w:tabs>
              <w:autoSpaceDE w:val="0"/>
              <w:autoSpaceDN w:val="0"/>
              <w:adjustRightInd w:val="0"/>
              <w:spacing w:before="35" w:line="276" w:lineRule="auto"/>
              <w:ind w:right="161"/>
              <w:rPr>
                <w:rFonts w:ascii="宋体"/>
              </w:rPr>
            </w:pPr>
            <w:r>
              <w:rPr>
                <w:rFonts w:ascii="宋体" w:hAnsi="宋体" w:cs="宋体" w:hint="eastAsia"/>
                <w:kern w:val="0"/>
                <w:szCs w:val="21"/>
              </w:rPr>
              <w:t>证书有效期</w:t>
            </w:r>
          </w:p>
        </w:tc>
        <w:tc>
          <w:tcPr>
            <w:tcW w:w="2412" w:type="dxa"/>
            <w:noWrap/>
          </w:tcPr>
          <w:p w:rsidR="005709C1" w:rsidRDefault="000948A5">
            <w:pPr>
              <w:tabs>
                <w:tab w:val="left" w:pos="880"/>
              </w:tabs>
              <w:autoSpaceDE w:val="0"/>
              <w:autoSpaceDN w:val="0"/>
              <w:adjustRightInd w:val="0"/>
              <w:spacing w:before="35" w:line="360" w:lineRule="auto"/>
              <w:ind w:right="161"/>
              <w:rPr>
                <w:rFonts w:ascii="宋体"/>
              </w:rPr>
            </w:pPr>
            <w:r>
              <w:rPr>
                <w:rFonts w:ascii="宋体" w:hAnsi="宋体" w:cs="宋体" w:hint="eastAsia"/>
                <w:kern w:val="0"/>
                <w:szCs w:val="21"/>
              </w:rPr>
              <w:t>2025.1.16</w:t>
            </w:r>
          </w:p>
        </w:tc>
      </w:tr>
      <w:tr w:rsidR="005709C1">
        <w:tc>
          <w:tcPr>
            <w:tcW w:w="1823"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2977"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892"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412" w:type="dxa"/>
            <w:noWrap/>
            <w:vAlign w:val="center"/>
          </w:tcPr>
          <w:p w:rsidR="005709C1" w:rsidRDefault="000948A5">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01</w:t>
            </w:r>
            <w:r>
              <w:rPr>
                <w:rFonts w:ascii="宋体" w:hAnsi="宋体" w:cs="宋体" w:hint="eastAsia"/>
                <w:kern w:val="0"/>
                <w:szCs w:val="21"/>
              </w:rPr>
              <w:t>月</w:t>
            </w:r>
            <w:r>
              <w:rPr>
                <w:rFonts w:ascii="宋体" w:hAnsi="宋体" w:cs="宋体" w:hint="eastAsia"/>
                <w:kern w:val="0"/>
                <w:szCs w:val="21"/>
              </w:rPr>
              <w:t>19-20</w:t>
            </w:r>
            <w:r>
              <w:rPr>
                <w:rFonts w:ascii="宋体" w:hAnsi="宋体" w:cs="宋体" w:hint="eastAsia"/>
                <w:kern w:val="0"/>
                <w:szCs w:val="21"/>
              </w:rPr>
              <w:t>日</w:t>
            </w:r>
          </w:p>
        </w:tc>
      </w:tr>
      <w:tr w:rsidR="005709C1">
        <w:trPr>
          <w:trHeight w:val="832"/>
        </w:trPr>
        <w:tc>
          <w:tcPr>
            <w:tcW w:w="1823"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w:t>
            </w:r>
          </w:p>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姓名及确认号</w:t>
            </w:r>
          </w:p>
        </w:tc>
        <w:tc>
          <w:tcPr>
            <w:tcW w:w="2977" w:type="dxa"/>
            <w:noWrap/>
            <w:vAlign w:val="center"/>
          </w:tcPr>
          <w:p w:rsidR="005709C1" w:rsidRDefault="000948A5">
            <w:pPr>
              <w:tabs>
                <w:tab w:val="left" w:pos="880"/>
              </w:tabs>
              <w:autoSpaceDE w:val="0"/>
              <w:autoSpaceDN w:val="0"/>
              <w:adjustRightInd w:val="0"/>
              <w:spacing w:before="35" w:line="276" w:lineRule="auto"/>
              <w:ind w:right="161"/>
              <w:rPr>
                <w:rFonts w:ascii="宋体" w:hAnsi="宋体"/>
                <w:szCs w:val="21"/>
              </w:rPr>
            </w:pPr>
            <w:r>
              <w:rPr>
                <w:rFonts w:ascii="宋体" w:hAnsi="宋体" w:hint="eastAsia"/>
                <w:szCs w:val="21"/>
              </w:rPr>
              <w:t>姜丽</w:t>
            </w:r>
            <w:r>
              <w:rPr>
                <w:rFonts w:ascii="宋体" w:hAnsi="宋体"/>
                <w:szCs w:val="21"/>
              </w:rPr>
              <w:t xml:space="preserve"> ISC[S]00</w:t>
            </w:r>
            <w:r>
              <w:rPr>
                <w:rFonts w:ascii="宋体" w:hAnsi="宋体" w:hint="eastAsia"/>
                <w:szCs w:val="21"/>
              </w:rPr>
              <w:t>23</w:t>
            </w:r>
          </w:p>
          <w:p w:rsidR="005709C1" w:rsidRDefault="005709C1">
            <w:pPr>
              <w:tabs>
                <w:tab w:val="left" w:pos="880"/>
              </w:tabs>
              <w:autoSpaceDE w:val="0"/>
              <w:autoSpaceDN w:val="0"/>
              <w:adjustRightInd w:val="0"/>
              <w:spacing w:before="35" w:line="276" w:lineRule="auto"/>
              <w:ind w:right="161"/>
              <w:rPr>
                <w:rFonts w:ascii="宋体" w:hAnsi="宋体"/>
                <w:szCs w:val="21"/>
              </w:rPr>
            </w:pPr>
          </w:p>
        </w:tc>
        <w:tc>
          <w:tcPr>
            <w:tcW w:w="1892" w:type="dxa"/>
            <w:noWrap/>
            <w:vAlign w:val="center"/>
          </w:tcPr>
          <w:p w:rsidR="005709C1" w:rsidRDefault="000948A5">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412" w:type="dxa"/>
            <w:noWrap/>
          </w:tcPr>
          <w:p w:rsidR="005709C1" w:rsidRDefault="000948A5">
            <w:pPr>
              <w:tabs>
                <w:tab w:val="left" w:pos="880"/>
              </w:tabs>
              <w:autoSpaceDE w:val="0"/>
              <w:autoSpaceDN w:val="0"/>
              <w:adjustRightInd w:val="0"/>
              <w:spacing w:before="35"/>
              <w:ind w:right="161"/>
              <w:rPr>
                <w:rFonts w:ascii="宋体" w:eastAsia="宋体" w:cs="宋体"/>
                <w:kern w:val="0"/>
                <w:sz w:val="24"/>
                <w:szCs w:val="24"/>
              </w:rPr>
            </w:pPr>
            <w:r>
              <w:rPr>
                <w:rFonts w:hint="eastAsia"/>
                <w:szCs w:val="21"/>
              </w:rPr>
              <w:t>质量技术部、生产部</w:t>
            </w:r>
            <w:r>
              <w:rPr>
                <w:rFonts w:ascii="宋体" w:hAnsi="宋体" w:cs="宋体" w:hint="eastAsia"/>
                <w:kern w:val="0"/>
                <w:sz w:val="20"/>
              </w:rPr>
              <w:t>、</w:t>
            </w:r>
            <w:r>
              <w:rPr>
                <w:rFonts w:ascii="宋体" w:hAnsi="宋体" w:hint="eastAsia"/>
                <w:bCs/>
                <w:szCs w:val="21"/>
              </w:rPr>
              <w:t>供销部、、综合办公室</w:t>
            </w:r>
          </w:p>
        </w:tc>
      </w:tr>
    </w:tbl>
    <w:p w:rsidR="005709C1" w:rsidRDefault="005709C1">
      <w:pPr>
        <w:widowControl/>
        <w:spacing w:line="360" w:lineRule="auto"/>
        <w:rPr>
          <w:rFonts w:ascii="Times New Roman" w:hAnsi="Times New Roman" w:cs="Times New Roman"/>
          <w:kern w:val="0"/>
          <w:szCs w:val="21"/>
        </w:rPr>
      </w:pP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后一年以来运行情况，在</w:t>
      </w:r>
      <w:r>
        <w:rPr>
          <w:rFonts w:ascii="宋体" w:eastAsia="宋体" w:hAnsi="宋体" w:hint="eastAsia"/>
          <w:color w:val="000000"/>
          <w:szCs w:val="21"/>
        </w:rPr>
        <w:t>东营市久诺尔石油设备有限公司</w:t>
      </w:r>
      <w:r>
        <w:rPr>
          <w:rFonts w:ascii="Times New Roman" w:hAnsi="Times New Roman" w:cs="Times New Roman"/>
          <w:bCs/>
          <w:kern w:val="0"/>
          <w:szCs w:val="21"/>
        </w:rPr>
        <w:t>审核中，审核组先、后抽样检查了涉及公司测量体系内的管理、生产、经营、质量和环境等方面的</w:t>
      </w:r>
      <w:r>
        <w:rPr>
          <w:rFonts w:ascii="Times New Roman" w:hAnsi="Times New Roman" w:cs="Times New Roman" w:hint="eastAsia"/>
          <w:bCs/>
          <w:kern w:val="0"/>
          <w:szCs w:val="21"/>
        </w:rPr>
        <w:t>4</w:t>
      </w:r>
      <w:r>
        <w:rPr>
          <w:rFonts w:ascii="Times New Roman" w:hAnsi="Times New Roman" w:cs="Times New Roman"/>
          <w:bCs/>
          <w:kern w:val="0"/>
          <w:szCs w:val="21"/>
        </w:rPr>
        <w:t>个职能部门及</w:t>
      </w:r>
      <w:r>
        <w:rPr>
          <w:rFonts w:ascii="Times New Roman" w:hAnsi="Times New Roman" w:cs="Times New Roman" w:hint="eastAsia"/>
          <w:bCs/>
          <w:kern w:val="0"/>
          <w:szCs w:val="21"/>
        </w:rPr>
        <w:t>相关</w:t>
      </w:r>
      <w:r>
        <w:rPr>
          <w:rFonts w:ascii="Times New Roman" w:hAnsi="Times New Roman" w:cs="Times New Roman"/>
          <w:bCs/>
          <w:kern w:val="0"/>
          <w:szCs w:val="21"/>
        </w:rPr>
        <w:t>生产车间、原材料库。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东营市久诺尔石油设备有限公司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GB/T 19022-2003</w:t>
      </w:r>
      <w:r>
        <w:rPr>
          <w:rFonts w:ascii="Times New Roman" w:hAnsi="Times New Roman" w:cs="Times New Roman"/>
          <w:bCs/>
          <w:kern w:val="0"/>
          <w:szCs w:val="21"/>
        </w:rPr>
        <w:t>标准要求。公司测量</w:t>
      </w:r>
      <w:r>
        <w:rPr>
          <w:rFonts w:ascii="Times New Roman" w:hAnsi="Times New Roman" w:cs="Times New Roman"/>
          <w:bCs/>
          <w:kern w:val="0"/>
          <w:szCs w:val="21"/>
        </w:rPr>
        <w:t>管理体系正常有序运行，较好地满足了公司生产、安全和持续发展的需要，企业效益逐年提升。</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hint="eastAsia"/>
          <w:bCs/>
          <w:kern w:val="0"/>
          <w:szCs w:val="21"/>
        </w:rPr>
        <w:t>月</w:t>
      </w:r>
      <w:r>
        <w:rPr>
          <w:rFonts w:ascii="Times New Roman" w:hAnsi="Times New Roman" w:cs="Times New Roman" w:hint="eastAsia"/>
          <w:bCs/>
          <w:kern w:val="0"/>
          <w:szCs w:val="21"/>
        </w:rPr>
        <w:t>8</w:t>
      </w:r>
      <w:r>
        <w:rPr>
          <w:rFonts w:ascii="Times New Roman" w:hAnsi="Times New Roman" w:cs="Times New Roman"/>
          <w:bCs/>
          <w:kern w:val="0"/>
          <w:szCs w:val="21"/>
        </w:rPr>
        <w:t>月，组织了公司测量管理体系内部审核。</w:t>
      </w:r>
      <w:r>
        <w:rPr>
          <w:rFonts w:ascii="Times New Roman" w:hAnsi="Times New Roman" w:cs="Times New Roman" w:hint="eastAsia"/>
          <w:bCs/>
          <w:kern w:val="0"/>
          <w:szCs w:val="21"/>
        </w:rPr>
        <w:t>孙振英任</w:t>
      </w:r>
      <w:r>
        <w:rPr>
          <w:rFonts w:ascii="宋体" w:hAnsi="宋体" w:cs="宋体" w:hint="eastAsia"/>
          <w:bCs/>
          <w:kern w:val="0"/>
          <w:szCs w:val="21"/>
        </w:rPr>
        <w:t>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4</w:t>
      </w:r>
      <w:r>
        <w:rPr>
          <w:rFonts w:ascii="Times New Roman" w:hAnsi="Times New Roman" w:cs="Times New Roman"/>
          <w:bCs/>
          <w:kern w:val="0"/>
          <w:szCs w:val="21"/>
        </w:rPr>
        <w:t>个职能部门及生产车间进行了全要素的审核。企业内部审核发现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bCs/>
          <w:kern w:val="0"/>
          <w:szCs w:val="21"/>
        </w:rPr>
        <w:t>月</w:t>
      </w:r>
      <w:r>
        <w:rPr>
          <w:rFonts w:ascii="Times New Roman" w:hAnsi="Times New Roman" w:cs="Times New Roman" w:hint="eastAsia"/>
          <w:bCs/>
          <w:kern w:val="0"/>
          <w:szCs w:val="21"/>
        </w:rPr>
        <w:t>10</w:t>
      </w:r>
      <w:r>
        <w:rPr>
          <w:rFonts w:ascii="Times New Roman" w:hAnsi="Times New Roman" w:cs="Times New Roman"/>
          <w:bCs/>
          <w:kern w:val="0"/>
          <w:szCs w:val="21"/>
        </w:rPr>
        <w:t>日，按其纠</w:t>
      </w:r>
      <w:r>
        <w:rPr>
          <w:rFonts w:ascii="Times New Roman" w:hAnsi="Times New Roman" w:cs="Times New Roman"/>
          <w:bCs/>
          <w:kern w:val="0"/>
          <w:szCs w:val="21"/>
        </w:rPr>
        <w:t>正措施已完成整改工作，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lastRenderedPageBreak/>
        <w:t>3.2</w:t>
      </w:r>
      <w:r>
        <w:rPr>
          <w:rFonts w:ascii="Times New Roman" w:hAnsi="Times New Roman" w:cs="Times New Roman"/>
          <w:b/>
          <w:bCs/>
          <w:kern w:val="0"/>
          <w:szCs w:val="21"/>
        </w:rPr>
        <w:t>、公司的测量体系管理评审：</w:t>
      </w:r>
    </w:p>
    <w:p w:rsidR="005709C1" w:rsidRDefault="000948A5">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2020</w:t>
      </w:r>
      <w:r>
        <w:rPr>
          <w:rFonts w:ascii="Times New Roman" w:hAnsi="Times New Roman" w:cs="Times New Roman"/>
          <w:szCs w:val="21"/>
        </w:rPr>
        <w:t>年</w:t>
      </w:r>
      <w:r>
        <w:rPr>
          <w:rFonts w:ascii="Times New Roman" w:hAnsi="Times New Roman" w:cs="Times New Roman" w:hint="eastAsia"/>
          <w:szCs w:val="21"/>
        </w:rPr>
        <w:t>12</w:t>
      </w:r>
      <w:r>
        <w:rPr>
          <w:rFonts w:ascii="Times New Roman" w:hAnsi="Times New Roman" w:cs="Times New Roman"/>
          <w:szCs w:val="21"/>
        </w:rPr>
        <w:t>月</w:t>
      </w:r>
      <w:r>
        <w:rPr>
          <w:rFonts w:ascii="Times New Roman" w:hAnsi="Times New Roman" w:cs="Times New Roman" w:hint="eastAsia"/>
          <w:szCs w:val="21"/>
        </w:rPr>
        <w:t>28</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ascii="Times New Roman" w:hAnsi="Times New Roman" w:cs="Times New Roman" w:hint="eastAsia"/>
          <w:szCs w:val="21"/>
        </w:rPr>
        <w:t>委托</w:t>
      </w:r>
      <w:r>
        <w:rPr>
          <w:rFonts w:hint="eastAsia"/>
          <w:bCs/>
          <w:szCs w:val="21"/>
        </w:rPr>
        <w:t>管代</w:t>
      </w:r>
      <w:r>
        <w:rPr>
          <w:rFonts w:hint="eastAsia"/>
          <w:bCs/>
          <w:szCs w:val="21"/>
        </w:rPr>
        <w:t>孙振英</w:t>
      </w:r>
      <w:r>
        <w:rPr>
          <w:rFonts w:hint="eastAsia"/>
          <w:bCs/>
          <w:szCs w:val="21"/>
        </w:rPr>
        <w:t>主持</w:t>
      </w:r>
      <w:r>
        <w:rPr>
          <w:rFonts w:hint="eastAsia"/>
          <w:bCs/>
          <w:szCs w:val="21"/>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5709C1" w:rsidRDefault="000948A5">
      <w:pPr>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w:t>
      </w:r>
      <w:r>
        <w:rPr>
          <w:rFonts w:ascii="Times New Roman" w:hAnsi="Times New Roman" w:cs="Times New Roman" w:hint="eastAsia"/>
          <w:bCs/>
          <w:kern w:val="0"/>
          <w:szCs w:val="21"/>
        </w:rPr>
        <w:t>主要产品：</w:t>
      </w:r>
      <w:bookmarkStart w:id="3" w:name="审核范围"/>
      <w:r>
        <w:rPr>
          <w:rFonts w:ascii="宋体" w:hAnsi="宋体" w:hint="eastAsia"/>
          <w:szCs w:val="21"/>
        </w:rPr>
        <w:t>护栏、围栏、标识牌的加工，实验室仪器设备、风光互补供电系统的组装生产，毛毡、标识牌、护栏、网络设备、自动化设备及配件、工矿设备及配件、实验装置及配件、防爆电器及配件、计量装置、仪表柜、金属制品、柴油机配件（含船用柴油机配件）、塑料制品（不含医用）、建筑材料、筛网</w:t>
      </w:r>
      <w:r>
        <w:rPr>
          <w:rFonts w:ascii="宋体" w:hAnsi="宋体" w:hint="eastAsia"/>
          <w:szCs w:val="21"/>
        </w:rPr>
        <w:t>、消杀用品、石油机械设备及配件、电器、五金建材、井下工具、钻采配件、仪器仪表、通讯设备（不含地面卫星接收及无线发射装置）及配件、劳保用品、保温材料、办公用品、电脑及耗材、防水材料、电线电缆、监控设备、消防器材、灯具、日用百货、电力器材、土产杂品（不含烟花爆竹）、蓄电池、管道配件、家俱、船舶设备及配件、吸油毡、围油栏、救生设备、</w:t>
      </w:r>
      <w:r>
        <w:rPr>
          <w:rFonts w:ascii="宋体" w:hAnsi="宋体" w:hint="eastAsia"/>
          <w:szCs w:val="21"/>
        </w:rPr>
        <w:t>UPS</w:t>
      </w:r>
      <w:r>
        <w:rPr>
          <w:rFonts w:ascii="宋体" w:hAnsi="宋体" w:hint="eastAsia"/>
          <w:szCs w:val="21"/>
        </w:rPr>
        <w:t>电源、石灰、石粉、汽车配件、滤料、水处理设备、玻璃仪器（玻璃器皿）、厨房设备及用具、安防器材、采暖设备及配件、管材（含</w:t>
      </w:r>
      <w:r>
        <w:rPr>
          <w:rFonts w:ascii="宋体" w:hAnsi="宋体" w:hint="eastAsia"/>
          <w:szCs w:val="21"/>
        </w:rPr>
        <w:t>PVC</w:t>
      </w:r>
      <w:r>
        <w:rPr>
          <w:rFonts w:ascii="宋体" w:hAnsi="宋体" w:hint="eastAsia"/>
          <w:szCs w:val="21"/>
        </w:rPr>
        <w:t>管材、</w:t>
      </w:r>
      <w:r>
        <w:rPr>
          <w:rFonts w:ascii="宋体" w:hAnsi="宋体" w:hint="eastAsia"/>
          <w:szCs w:val="21"/>
        </w:rPr>
        <w:t>PPR</w:t>
      </w:r>
      <w:r>
        <w:rPr>
          <w:rFonts w:ascii="宋体" w:hAnsi="宋体" w:hint="eastAsia"/>
          <w:szCs w:val="21"/>
        </w:rPr>
        <w:t>管材、</w:t>
      </w:r>
      <w:r>
        <w:rPr>
          <w:rFonts w:ascii="宋体" w:hAnsi="宋体" w:hint="eastAsia"/>
          <w:szCs w:val="21"/>
        </w:rPr>
        <w:t>PE</w:t>
      </w:r>
      <w:r>
        <w:rPr>
          <w:rFonts w:ascii="宋体" w:hAnsi="宋体" w:hint="eastAsia"/>
          <w:szCs w:val="21"/>
        </w:rPr>
        <w:t>管材）、橡胶制品、电器元件、低压</w:t>
      </w:r>
      <w:r>
        <w:rPr>
          <w:rFonts w:ascii="宋体" w:hAnsi="宋体" w:hint="eastAsia"/>
          <w:szCs w:val="21"/>
        </w:rPr>
        <w:t>电器、绝缘材料的销售</w:t>
      </w:r>
      <w:bookmarkEnd w:id="3"/>
      <w:r>
        <w:rPr>
          <w:rFonts w:ascii="宋体" w:hAnsi="宋体" w:hint="eastAsia"/>
          <w:szCs w:val="21"/>
        </w:rPr>
        <w:t>。质量技术部</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宋体" w:hAnsi="宋体" w:cs="宋体" w:hint="eastAsia"/>
          <w:bCs/>
          <w:kern w:val="0"/>
          <w:szCs w:val="21"/>
        </w:rPr>
        <w:t>共识</w:t>
      </w:r>
      <w:r>
        <w:rPr>
          <w:rFonts w:ascii="宋体" w:hAnsi="宋体" w:cs="宋体" w:hint="eastAsia"/>
          <w:bCs/>
          <w:kern w:val="0"/>
          <w:szCs w:val="21"/>
        </w:rPr>
        <w:t>别</w:t>
      </w:r>
      <w:r>
        <w:rPr>
          <w:rFonts w:hint="eastAsia"/>
        </w:rPr>
        <w:t>护栏、围栏的壁厚</w:t>
      </w:r>
      <w:r>
        <w:rPr>
          <w:rFonts w:hint="eastAsia"/>
        </w:rPr>
        <w:t>测</w:t>
      </w:r>
      <w:r>
        <w:rPr>
          <w:rFonts w:hint="eastAsia"/>
        </w:rPr>
        <w:t>量、</w:t>
      </w:r>
      <w:r>
        <w:rPr>
          <w:rFonts w:ascii="Times New Roman" w:hAnsi="Times New Roman"/>
          <w:szCs w:val="21"/>
        </w:rPr>
        <w:t>一体化控制柜接地电阻测试过程</w:t>
      </w:r>
      <w:r>
        <w:rPr>
          <w:rFonts w:ascii="宋体" w:hAnsi="宋体" w:cs="宋体" w:hint="eastAsia"/>
          <w:kern w:val="0"/>
          <w:szCs w:val="21"/>
        </w:rPr>
        <w:t>测量过程</w:t>
      </w:r>
      <w:r>
        <w:rPr>
          <w:rFonts w:ascii="宋体" w:hAnsi="宋体" w:cs="宋体" w:hint="eastAsia"/>
          <w:kern w:val="0"/>
          <w:szCs w:val="21"/>
        </w:rPr>
        <w:t>、</w:t>
      </w:r>
      <w:r>
        <w:rPr>
          <w:rFonts w:ascii="Times New Roman" w:hAnsi="Times New Roman"/>
          <w:szCs w:val="21"/>
        </w:rPr>
        <w:t>测定仪泄露电流检验</w:t>
      </w:r>
      <w:r>
        <w:rPr>
          <w:rFonts w:ascii="Times New Roman" w:hAnsi="Times New Roman"/>
          <w:bCs/>
          <w:szCs w:val="21"/>
        </w:rPr>
        <w:t>过程</w:t>
      </w:r>
      <w:r>
        <w:rPr>
          <w:rFonts w:ascii="宋体" w:hAnsi="宋体" w:cs="宋体" w:hint="eastAsia"/>
          <w:kern w:val="0"/>
          <w:szCs w:val="21"/>
        </w:rPr>
        <w:t>等</w:t>
      </w:r>
      <w:r>
        <w:rPr>
          <w:rFonts w:ascii="宋体" w:hAnsi="宋体" w:cs="宋体" w:hint="eastAsia"/>
          <w:kern w:val="0"/>
          <w:szCs w:val="21"/>
        </w:rPr>
        <w:t>3</w:t>
      </w:r>
      <w:r>
        <w:rPr>
          <w:rFonts w:ascii="宋体" w:hAnsi="宋体" w:cs="宋体" w:hint="eastAsia"/>
          <w:kern w:val="0"/>
          <w:szCs w:val="21"/>
        </w:rPr>
        <w:t>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5709C1" w:rsidRDefault="000948A5">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10</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rPr>
        <w:t>护栏、围栏的壁厚</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rsidR="005709C1" w:rsidRDefault="000948A5">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lastRenderedPageBreak/>
        <w:t xml:space="preserve">4.3. </w:t>
      </w:r>
      <w:r>
        <w:rPr>
          <w:rFonts w:ascii="Times New Roman" w:hAnsi="Times New Roman" w:cs="Times New Roman"/>
          <w:bCs/>
          <w:kern w:val="0"/>
          <w:szCs w:val="21"/>
        </w:rPr>
        <w:t>企业增加</w:t>
      </w:r>
      <w:r>
        <w:rPr>
          <w:rFonts w:ascii="Times New Roman" w:hAnsi="Times New Roman" w:cs="Times New Roman" w:hint="eastAsia"/>
          <w:bCs/>
          <w:kern w:val="0"/>
          <w:szCs w:val="21"/>
        </w:rPr>
        <w:t>一个</w:t>
      </w:r>
      <w:r>
        <w:rPr>
          <w:rFonts w:ascii="Times New Roman" w:hAnsi="Times New Roman" w:cs="Times New Roman"/>
          <w:bCs/>
          <w:kern w:val="0"/>
          <w:szCs w:val="21"/>
        </w:rPr>
        <w:t>关键测量过程。</w:t>
      </w:r>
      <w:r>
        <w:rPr>
          <w:rFonts w:ascii="Times New Roman" w:hAnsi="Times New Roman" w:cs="Times New Roman" w:hint="eastAsia"/>
          <w:bCs/>
          <w:kern w:val="0"/>
          <w:szCs w:val="21"/>
        </w:rPr>
        <w:t>查</w:t>
      </w:r>
      <w:r>
        <w:rPr>
          <w:rFonts w:ascii="Times New Roman" w:hAnsi="Times New Roman" w:cs="Times New Roman"/>
          <w:bCs/>
          <w:kern w:val="0"/>
          <w:szCs w:val="21"/>
        </w:rPr>
        <w:t>《</w:t>
      </w:r>
      <w:r>
        <w:rPr>
          <w:rFonts w:hint="eastAsia"/>
        </w:rPr>
        <w:t>护栏、围栏的壁厚</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w:t>
      </w:r>
      <w:r>
        <w:rPr>
          <w:rFonts w:ascii="Times New Roman" w:hAnsi="Times New Roman" w:cs="Times New Roman"/>
          <w:bCs/>
          <w:kern w:val="0"/>
          <w:szCs w:val="21"/>
        </w:rPr>
        <w:t>验证方法正确。</w:t>
      </w:r>
    </w:p>
    <w:p w:rsidR="005709C1" w:rsidRDefault="000948A5">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hint="eastAsia"/>
        </w:rPr>
        <w:t>护栏、围栏的壁厚</w:t>
      </w:r>
      <w:r>
        <w:rPr>
          <w:rFonts w:hint="eastAsia"/>
        </w:rPr>
        <w:t>测</w:t>
      </w:r>
      <w:r>
        <w:rPr>
          <w:rFonts w:hint="eastAsia"/>
        </w:rPr>
        <w:t>量</w:t>
      </w:r>
      <w:r>
        <w:rPr>
          <w:rFonts w:ascii="Times New Roman" w:hAnsi="Times New Roman" w:hint="eastAsia"/>
          <w:szCs w:val="21"/>
        </w:rPr>
        <w:t>过程</w:t>
      </w:r>
      <w:r>
        <w:rPr>
          <w:rFonts w:ascii="Times New Roman" w:hAnsi="Times New Roman" w:cs="Times New Roman"/>
          <w:bCs/>
          <w:kern w:val="0"/>
          <w:szCs w:val="21"/>
        </w:rPr>
        <w:t>测量不确定度评定》，方法和结果正确；</w:t>
      </w:r>
    </w:p>
    <w:p w:rsidR="005709C1" w:rsidRDefault="000948A5">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4.5</w:t>
      </w:r>
      <w:r>
        <w:rPr>
          <w:rFonts w:ascii="Times New Roman" w:hAnsi="Times New Roman" w:cs="Times New Roman"/>
          <w:bCs/>
          <w:kern w:val="0"/>
          <w:szCs w:val="21"/>
        </w:rPr>
        <w:t>、查《</w:t>
      </w:r>
      <w:r>
        <w:rPr>
          <w:rFonts w:hint="eastAsia"/>
        </w:rPr>
        <w:t>护栏、围栏的壁厚</w:t>
      </w:r>
      <w:r>
        <w:rPr>
          <w:rFonts w:hint="eastAsia"/>
        </w:rPr>
        <w:t>测</w:t>
      </w:r>
      <w:r>
        <w:rPr>
          <w:rFonts w:hint="eastAsia"/>
        </w:rPr>
        <w:t>量</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5709C1" w:rsidRDefault="000948A5">
      <w:pPr>
        <w:widowControl/>
        <w:spacing w:line="360" w:lineRule="auto"/>
        <w:ind w:firstLineChars="200" w:firstLine="42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2</w:t>
      </w:r>
      <w:r>
        <w:rPr>
          <w:rFonts w:ascii="Times New Roman" w:hAnsi="Times New Roman" w:cs="Times New Roman"/>
          <w:szCs w:val="21"/>
        </w:rPr>
        <w:t>个不符合项，制定了预防纠正措施，并按其纠正措施进行了整改工作。</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szCs w:val="21"/>
        </w:rPr>
        <w:t>生产部执行的企业标准：</w:t>
      </w:r>
      <w:r>
        <w:rPr>
          <w:rFonts w:ascii="Times New Roman" w:hAnsi="Times New Roman"/>
          <w:szCs w:val="21"/>
        </w:rPr>
        <w:t>Q/371700 JNE002-2018</w:t>
      </w:r>
      <w:r>
        <w:rPr>
          <w:rFonts w:ascii="Times New Roman" w:hAnsi="Times New Roman"/>
          <w:szCs w:val="21"/>
        </w:rPr>
        <w:t>《原油水含量测定器》一份，现行有效，但未受控</w:t>
      </w:r>
      <w:r>
        <w:rPr>
          <w:rFonts w:ascii="宋体" w:hAnsi="宋体" w:hint="eastAsia"/>
          <w:bCs/>
          <w:szCs w:val="21"/>
        </w:rPr>
        <w:t>。”</w:t>
      </w:r>
      <w:r>
        <w:rPr>
          <w:rFonts w:ascii="宋体" w:hAnsi="宋体" w:hint="eastAsia"/>
          <w:bCs/>
          <w:szCs w:val="21"/>
        </w:rPr>
        <w:t>2</w:t>
      </w:r>
      <w:r>
        <w:rPr>
          <w:rFonts w:ascii="Times New Roman" w:hAnsi="Times New Roman" w:cs="Times New Roman" w:hint="eastAsia"/>
          <w:szCs w:val="21"/>
        </w:rPr>
        <w:t>“</w:t>
      </w:r>
      <w:r>
        <w:rPr>
          <w:rFonts w:ascii="Times New Roman" w:hAnsi="Times New Roman"/>
          <w:szCs w:val="21"/>
        </w:rPr>
        <w:t>查现场检测参数为冷凝管长度尺寸</w:t>
      </w:r>
      <w:r>
        <w:rPr>
          <w:rFonts w:ascii="Times New Roman" w:hAnsi="Times New Roman"/>
          <w:szCs w:val="21"/>
        </w:rPr>
        <w:t>40mm±0.025mm</w:t>
      </w:r>
      <w:r>
        <w:rPr>
          <w:rFonts w:ascii="Times New Roman" w:hAnsi="Times New Roman"/>
          <w:szCs w:val="21"/>
        </w:rPr>
        <w:t>，配备的（</w:t>
      </w:r>
      <w:r>
        <w:rPr>
          <w:rFonts w:ascii="Times New Roman" w:hAnsi="Times New Roman"/>
          <w:szCs w:val="21"/>
        </w:rPr>
        <w:t>0-150</w:t>
      </w:r>
      <w:r>
        <w:rPr>
          <w:rFonts w:ascii="Times New Roman" w:hAnsi="Times New Roman"/>
          <w:szCs w:val="21"/>
        </w:rPr>
        <w:t>）</w:t>
      </w:r>
      <w:r>
        <w:rPr>
          <w:rFonts w:ascii="Times New Roman" w:hAnsi="Times New Roman"/>
          <w:szCs w:val="21"/>
        </w:rPr>
        <w:t>mm</w:t>
      </w:r>
      <w:r>
        <w:rPr>
          <w:rFonts w:ascii="Times New Roman" w:hAnsi="Times New Roman"/>
          <w:szCs w:val="21"/>
        </w:rPr>
        <w:t>游标卡尺</w:t>
      </w:r>
      <w:r>
        <w:rPr>
          <w:rFonts w:ascii="Times New Roman" w:hAnsi="Times New Roman"/>
          <w:szCs w:val="21"/>
        </w:rPr>
        <w:t>,</w:t>
      </w:r>
      <w:r>
        <w:rPr>
          <w:rFonts w:ascii="Times New Roman" w:hAnsi="Times New Roman"/>
          <w:szCs w:val="21"/>
        </w:rPr>
        <w:t>查校准证书卡尺的最大允许为</w:t>
      </w:r>
      <w:r>
        <w:rPr>
          <w:rFonts w:ascii="Times New Roman" w:hAnsi="Times New Roman"/>
          <w:szCs w:val="21"/>
        </w:rPr>
        <w:t>±0.02mm</w:t>
      </w:r>
      <w:r>
        <w:rPr>
          <w:rFonts w:ascii="Times New Roman" w:hAnsi="Times New Roman"/>
          <w:szCs w:val="21"/>
        </w:rPr>
        <w:t>，不能满足测量要求</w:t>
      </w:r>
      <w:r>
        <w:rPr>
          <w:rFonts w:ascii="Times New Roman" w:hAnsi="Times New Roman" w:hint="eastAsia"/>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标准要求，使其更具有动态性和适应性、有效性及对持续运作的控制。</w:t>
      </w:r>
    </w:p>
    <w:p w:rsidR="005709C1" w:rsidRDefault="000948A5">
      <w:pPr>
        <w:widowControl/>
        <w:numPr>
          <w:ilvl w:val="0"/>
          <w:numId w:val="1"/>
        </w:numPr>
        <w:spacing w:line="360" w:lineRule="auto"/>
        <w:ind w:firstLineChars="200" w:firstLine="422"/>
        <w:jc w:val="left"/>
        <w:rPr>
          <w:rFonts w:ascii="Times New Roman" w:hAnsi="Times New Roman" w:cs="Times New Roman"/>
          <w:b/>
          <w:bCs/>
          <w:kern w:val="0"/>
          <w:szCs w:val="21"/>
        </w:rPr>
      </w:pPr>
      <w:r>
        <w:rPr>
          <w:rFonts w:ascii="Times New Roman" w:hAnsi="Times New Roman" w:cs="Times New Roman"/>
          <w:b/>
          <w:bCs/>
          <w:kern w:val="0"/>
          <w:szCs w:val="21"/>
        </w:rPr>
        <w:t>对企业组织任何变更的审核：</w:t>
      </w:r>
    </w:p>
    <w:p w:rsidR="005709C1" w:rsidRDefault="000948A5">
      <w:pPr>
        <w:widowControl/>
        <w:spacing w:line="360" w:lineRule="auto"/>
        <w:jc w:val="left"/>
        <w:rPr>
          <w:rFonts w:ascii="宋体" w:hAnsi="宋体"/>
          <w:bCs/>
          <w:szCs w:val="21"/>
        </w:rPr>
      </w:pPr>
      <w:r>
        <w:rPr>
          <w:rFonts w:ascii="宋体" w:hAnsi="宋体" w:hint="eastAsia"/>
          <w:bCs/>
          <w:szCs w:val="21"/>
        </w:rPr>
        <w:t xml:space="preserve">  </w:t>
      </w:r>
      <w:r>
        <w:rPr>
          <w:rFonts w:ascii="宋体" w:hAnsi="宋体" w:hint="eastAsia"/>
          <w:bCs/>
          <w:szCs w:val="21"/>
        </w:rPr>
        <w:t>企业</w:t>
      </w:r>
      <w:r>
        <w:rPr>
          <w:rFonts w:ascii="宋体" w:hAnsi="宋体" w:hint="eastAsia"/>
          <w:bCs/>
          <w:szCs w:val="21"/>
        </w:rPr>
        <w:t>的资质情况发生变化</w:t>
      </w:r>
      <w:r>
        <w:rPr>
          <w:rFonts w:ascii="宋体" w:hAnsi="宋体" w:hint="eastAsia"/>
          <w:bCs/>
          <w:szCs w:val="21"/>
        </w:rPr>
        <w:t>：企业营业执照（</w:t>
      </w:r>
      <w:r>
        <w:rPr>
          <w:rFonts w:ascii="宋体" w:hAnsi="宋体" w:hint="eastAsia"/>
          <w:bCs/>
          <w:szCs w:val="21"/>
        </w:rPr>
        <w:t>2020.9.10</w:t>
      </w:r>
      <w:r>
        <w:rPr>
          <w:rFonts w:ascii="宋体" w:hAnsi="宋体" w:hint="eastAsia"/>
          <w:bCs/>
          <w:szCs w:val="21"/>
        </w:rPr>
        <w:t>）</w:t>
      </w:r>
      <w:r>
        <w:rPr>
          <w:rFonts w:ascii="宋体" w:hAnsi="宋体" w:hint="eastAsia"/>
          <w:bCs/>
          <w:szCs w:val="21"/>
        </w:rPr>
        <w:t>，</w:t>
      </w:r>
      <w:r>
        <w:rPr>
          <w:rFonts w:ascii="宋体" w:hAnsi="宋体" w:hint="eastAsia"/>
          <w:bCs/>
          <w:szCs w:val="21"/>
        </w:rPr>
        <w:t>变更。（企业实缴资金增加）附工商核准证明。</w:t>
      </w:r>
      <w:r>
        <w:rPr>
          <w:rFonts w:ascii="宋体" w:hAnsi="宋体" w:hint="eastAsia"/>
          <w:bCs/>
          <w:szCs w:val="21"/>
        </w:rPr>
        <w:t>组织</w:t>
      </w:r>
      <w:r>
        <w:rPr>
          <w:rFonts w:ascii="宋体" w:hAnsi="宋体" w:hint="eastAsia"/>
          <w:bCs/>
          <w:szCs w:val="21"/>
        </w:rPr>
        <w:t>机构没有变更</w:t>
      </w:r>
      <w:r>
        <w:rPr>
          <w:rFonts w:ascii="宋体" w:hAnsi="宋体" w:hint="eastAsia"/>
          <w:bCs/>
          <w:szCs w:val="21"/>
        </w:rPr>
        <w:t>；</w:t>
      </w:r>
      <w:r>
        <w:rPr>
          <w:rFonts w:ascii="宋体" w:hAnsi="宋体" w:hint="eastAsia"/>
          <w:bCs/>
          <w:szCs w:val="21"/>
        </w:rPr>
        <w:t>。</w:t>
      </w:r>
      <w:r>
        <w:rPr>
          <w:rFonts w:ascii="宋体" w:hAnsi="宋体" w:hint="eastAsia"/>
          <w:bCs/>
          <w:szCs w:val="21"/>
        </w:rPr>
        <w:t>认证产品增加</w:t>
      </w:r>
      <w:r>
        <w:rPr>
          <w:rFonts w:ascii="宋体" w:hAnsi="宋体" w:hint="eastAsia"/>
          <w:szCs w:val="21"/>
        </w:rPr>
        <w:t>护栏、围栏、标识牌的加工</w:t>
      </w:r>
      <w:r>
        <w:rPr>
          <w:rFonts w:ascii="宋体" w:hAnsi="宋体" w:hint="eastAsia"/>
          <w:bCs/>
          <w:szCs w:val="21"/>
        </w:rPr>
        <w:t>（资质范围内），等技术服务</w:t>
      </w:r>
      <w:r>
        <w:rPr>
          <w:rFonts w:ascii="宋体" w:hAnsi="宋体" w:hint="eastAsia"/>
          <w:bCs/>
          <w:szCs w:val="21"/>
        </w:rPr>
        <w:t>。</w:t>
      </w:r>
      <w:r>
        <w:rPr>
          <w:rFonts w:ascii="宋体" w:hAnsi="宋体" w:hint="eastAsia"/>
          <w:szCs w:val="21"/>
        </w:rPr>
        <w:t>生产</w:t>
      </w:r>
      <w:r>
        <w:rPr>
          <w:rFonts w:ascii="宋体" w:hAnsi="宋体" w:hint="eastAsia"/>
          <w:bCs/>
          <w:szCs w:val="21"/>
        </w:rPr>
        <w:t>依</w:t>
      </w:r>
      <w:r>
        <w:rPr>
          <w:rFonts w:ascii="宋体" w:hAnsi="宋体" w:hint="eastAsia"/>
          <w:bCs/>
          <w:szCs w:val="21"/>
        </w:rPr>
        <w:t>据标准</w:t>
      </w:r>
      <w:r>
        <w:rPr>
          <w:rFonts w:ascii="宋体" w:eastAsia="宋体" w:hAnsi="宋体" w:cs="宋体" w:hint="eastAsia"/>
          <w:bCs/>
          <w:szCs w:val="21"/>
        </w:rPr>
        <w:t xml:space="preserve">GB 4053.3-2009 </w:t>
      </w:r>
      <w:r>
        <w:rPr>
          <w:rFonts w:ascii="宋体" w:eastAsia="宋体" w:hAnsi="宋体" w:cs="宋体" w:hint="eastAsia"/>
          <w:bCs/>
          <w:szCs w:val="21"/>
        </w:rPr>
        <w:t>《</w:t>
      </w:r>
      <w:r>
        <w:rPr>
          <w:rFonts w:ascii="宋体" w:eastAsia="宋体" w:hAnsi="宋体" w:cs="宋体" w:hint="eastAsia"/>
          <w:bCs/>
          <w:szCs w:val="21"/>
        </w:rPr>
        <w:t>护栏</w:t>
      </w:r>
      <w:r>
        <w:rPr>
          <w:rFonts w:ascii="宋体" w:eastAsia="宋体" w:hAnsi="宋体" w:cs="宋体" w:hint="eastAsia"/>
          <w:bCs/>
          <w:color w:val="000000"/>
          <w:szCs w:val="21"/>
          <w:shd w:val="clear" w:color="auto" w:fill="FFFFFF"/>
        </w:rPr>
        <w:t>固定式钢梯及</w:t>
      </w:r>
      <w:r>
        <w:rPr>
          <w:rFonts w:ascii="宋体" w:eastAsia="宋体" w:hAnsi="宋体" w:cs="宋体" w:hint="eastAsia"/>
          <w:bCs/>
          <w:color w:val="000000"/>
          <w:szCs w:val="21"/>
          <w:shd w:val="clear" w:color="auto" w:fill="FFFFFF"/>
        </w:rPr>
        <w:t>平台安全要求</w:t>
      </w:r>
      <w:r>
        <w:rPr>
          <w:rFonts w:ascii="宋体" w:eastAsia="宋体" w:hAnsi="宋体" w:cs="宋体" w:hint="eastAsia"/>
          <w:bCs/>
          <w:color w:val="000000"/>
          <w:szCs w:val="21"/>
          <w:shd w:val="clear" w:color="auto" w:fill="FFFFFF"/>
        </w:rPr>
        <w:t xml:space="preserve"> </w:t>
      </w:r>
      <w:r>
        <w:rPr>
          <w:rFonts w:ascii="宋体" w:eastAsia="宋体" w:hAnsi="宋体" w:cs="宋体" w:hint="eastAsia"/>
          <w:bCs/>
          <w:color w:val="000000"/>
          <w:szCs w:val="21"/>
          <w:shd w:val="clear" w:color="auto" w:fill="FFFFFF"/>
        </w:rPr>
        <w:t>第</w:t>
      </w:r>
      <w:r>
        <w:rPr>
          <w:rFonts w:ascii="宋体" w:eastAsia="宋体" w:hAnsi="宋体" w:cs="宋体" w:hint="eastAsia"/>
          <w:bCs/>
          <w:color w:val="000000"/>
          <w:szCs w:val="21"/>
          <w:shd w:val="clear" w:color="auto" w:fill="FFFFFF"/>
        </w:rPr>
        <w:t>3</w:t>
      </w:r>
      <w:r>
        <w:rPr>
          <w:rFonts w:ascii="宋体" w:eastAsia="宋体" w:hAnsi="宋体" w:cs="宋体" w:hint="eastAsia"/>
          <w:bCs/>
          <w:color w:val="000000"/>
          <w:szCs w:val="21"/>
          <w:shd w:val="clear" w:color="auto" w:fill="FFFFFF"/>
        </w:rPr>
        <w:t>部分：工业防护栏杆及钢平台</w:t>
      </w:r>
      <w:r>
        <w:rPr>
          <w:rFonts w:ascii="宋体" w:eastAsia="宋体" w:hAnsi="宋体" w:cs="宋体" w:hint="eastAsia"/>
          <w:bCs/>
          <w:szCs w:val="21"/>
        </w:rPr>
        <w:t>》</w:t>
      </w:r>
      <w:r>
        <w:rPr>
          <w:rFonts w:cs="宋体" w:hint="eastAsia"/>
          <w:bCs/>
          <w:szCs w:val="21"/>
        </w:rPr>
        <w:t>；</w:t>
      </w:r>
      <w:r>
        <w:rPr>
          <w:rFonts w:cs="宋体" w:hint="eastAsia"/>
          <w:bCs/>
          <w:szCs w:val="21"/>
        </w:rPr>
        <w:t>GB/T 13306-2011</w:t>
      </w:r>
      <w:r>
        <w:rPr>
          <w:rFonts w:cs="宋体" w:hint="eastAsia"/>
          <w:bCs/>
          <w:szCs w:val="21"/>
        </w:rPr>
        <w:t>《标牌》</w:t>
      </w:r>
      <w:r>
        <w:rPr>
          <w:rFonts w:ascii="宋体" w:hAnsi="宋体" w:hint="eastAsia"/>
          <w:bCs/>
          <w:szCs w:val="21"/>
        </w:rPr>
        <w:t>，标准现行有效。符合标</w:t>
      </w:r>
      <w:r>
        <w:rPr>
          <w:rFonts w:ascii="宋体" w:hAnsi="宋体" w:hint="eastAsia"/>
          <w:bCs/>
          <w:szCs w:val="21"/>
        </w:rPr>
        <w:t>准要求。对新增加产品</w:t>
      </w:r>
      <w:r>
        <w:rPr>
          <w:rFonts w:ascii="宋体" w:hAnsi="宋体" w:hint="eastAsia"/>
          <w:szCs w:val="21"/>
        </w:rPr>
        <w:t>护栏、围栏标识牌的加工</w:t>
      </w:r>
      <w:r>
        <w:rPr>
          <w:rFonts w:ascii="宋体" w:hAnsi="宋体" w:hint="eastAsia"/>
          <w:bCs/>
          <w:szCs w:val="21"/>
        </w:rPr>
        <w:t>测量的关键测量过程</w:t>
      </w:r>
      <w:r>
        <w:rPr>
          <w:rFonts w:ascii="宋体" w:hAnsi="宋体" w:hint="eastAsia"/>
          <w:bCs/>
          <w:szCs w:val="21"/>
        </w:rPr>
        <w:t>,</w:t>
      </w:r>
      <w:r>
        <w:rPr>
          <w:rFonts w:ascii="宋体" w:hAnsi="宋体" w:hint="eastAsia"/>
          <w:bCs/>
          <w:szCs w:val="21"/>
        </w:rPr>
        <w:t>进行确认，</w:t>
      </w:r>
      <w:r>
        <w:rPr>
          <w:rFonts w:ascii="宋体" w:hAnsi="宋体" w:hint="eastAsia"/>
          <w:bCs/>
          <w:szCs w:val="21"/>
        </w:rPr>
        <w:t>生产过程中所用测量设备在检定周期内，见测量设备朔源检查表，所增项的生产过程，原材料检验，加工过程检验，成品出厂检验等均已纳入测量管理体系中进行管理。重要关键测量过程为</w:t>
      </w:r>
      <w:bookmarkStart w:id="4" w:name="_GoBack"/>
      <w:bookmarkEnd w:id="4"/>
      <w:r>
        <w:rPr>
          <w:rFonts w:hint="eastAsia"/>
        </w:rPr>
        <w:t>护栏、围栏的壁厚</w:t>
      </w:r>
      <w:r>
        <w:rPr>
          <w:rFonts w:hint="eastAsia"/>
        </w:rPr>
        <w:t>测</w:t>
      </w:r>
      <w:r>
        <w:rPr>
          <w:rFonts w:hint="eastAsia"/>
        </w:rPr>
        <w:t>量</w:t>
      </w:r>
      <w:r>
        <w:rPr>
          <w:rFonts w:ascii="Times New Roman" w:hAnsi="Times New Roman" w:hint="eastAsia"/>
          <w:szCs w:val="21"/>
        </w:rPr>
        <w:t>过程</w:t>
      </w:r>
      <w:r>
        <w:rPr>
          <w:rFonts w:ascii="宋体" w:hAnsi="宋体" w:hint="eastAsia"/>
          <w:bCs/>
          <w:szCs w:val="21"/>
        </w:rPr>
        <w:t>计量要求的导出</w:t>
      </w:r>
      <w:r>
        <w:rPr>
          <w:rFonts w:ascii="宋体" w:hAnsi="宋体" w:hint="eastAsia"/>
          <w:bCs/>
          <w:szCs w:val="21"/>
        </w:rPr>
        <w:t>，</w:t>
      </w:r>
      <w:r>
        <w:rPr>
          <w:rFonts w:ascii="宋体" w:hAnsi="宋体" w:hint="eastAsia"/>
          <w:bCs/>
          <w:szCs w:val="21"/>
        </w:rPr>
        <w:t>测量不确定评定</w:t>
      </w:r>
      <w:r>
        <w:rPr>
          <w:rFonts w:ascii="宋体" w:hAnsi="宋体" w:hint="eastAsia"/>
          <w:bCs/>
          <w:szCs w:val="21"/>
        </w:rPr>
        <w:t>，</w:t>
      </w:r>
      <w:r>
        <w:rPr>
          <w:rFonts w:ascii="宋体" w:hAnsi="宋体" w:hint="eastAsia"/>
          <w:bCs/>
          <w:szCs w:val="21"/>
        </w:rPr>
        <w:t>有效性确认</w:t>
      </w:r>
      <w:r>
        <w:rPr>
          <w:rFonts w:ascii="宋体" w:hAnsi="宋体" w:hint="eastAsia"/>
          <w:bCs/>
          <w:szCs w:val="21"/>
        </w:rPr>
        <w:t>，</w:t>
      </w:r>
      <w:r>
        <w:rPr>
          <w:rFonts w:ascii="宋体" w:hAnsi="宋体" w:hint="eastAsia"/>
          <w:bCs/>
          <w:szCs w:val="21"/>
        </w:rPr>
        <w:t>测量过程的控制</w:t>
      </w:r>
      <w:r>
        <w:rPr>
          <w:rFonts w:ascii="宋体" w:hAnsi="宋体" w:hint="eastAsia"/>
          <w:bCs/>
          <w:szCs w:val="21"/>
        </w:rPr>
        <w:t xml:space="preserve"> </w:t>
      </w:r>
      <w:r>
        <w:rPr>
          <w:rFonts w:ascii="宋体" w:hAnsi="宋体" w:hint="eastAsia"/>
          <w:bCs/>
          <w:szCs w:val="21"/>
        </w:rPr>
        <w:t>，</w:t>
      </w:r>
      <w:r>
        <w:rPr>
          <w:rFonts w:ascii="宋体" w:hAnsi="宋体" w:hint="eastAsia"/>
          <w:bCs/>
          <w:szCs w:val="21"/>
        </w:rPr>
        <w:t>测量过程的监视</w:t>
      </w:r>
      <w:r>
        <w:rPr>
          <w:rFonts w:ascii="宋体" w:hAnsi="宋体" w:hint="eastAsia"/>
          <w:bCs/>
          <w:szCs w:val="21"/>
        </w:rPr>
        <w:t>等符合要求，经审核表明</w:t>
      </w:r>
      <w:r>
        <w:rPr>
          <w:rFonts w:ascii="Times New Roman" w:hAnsi="Times New Roman" w:cs="Times New Roman"/>
          <w:bCs/>
          <w:kern w:val="0"/>
          <w:szCs w:val="21"/>
        </w:rPr>
        <w:t>。</w:t>
      </w:r>
      <w:r>
        <w:rPr>
          <w:rFonts w:ascii="Times New Roman" w:hAnsi="Times New Roman" w:cs="Times New Roman" w:hint="eastAsia"/>
          <w:bCs/>
          <w:kern w:val="0"/>
          <w:szCs w:val="21"/>
        </w:rPr>
        <w:t>东营市久诺尔石油设备有限公司</w:t>
      </w:r>
      <w:r>
        <w:rPr>
          <w:rFonts w:ascii="宋体" w:hAnsi="宋体" w:hint="eastAsia"/>
          <w:szCs w:val="21"/>
        </w:rPr>
        <w:t>护栏、围栏、标识牌的加工</w:t>
      </w:r>
      <w:r>
        <w:rPr>
          <w:rFonts w:ascii="宋体" w:hAnsi="宋体" w:hint="eastAsia"/>
          <w:bCs/>
          <w:szCs w:val="21"/>
        </w:rPr>
        <w:t>（资质范围内），</w:t>
      </w:r>
      <w:r>
        <w:rPr>
          <w:rFonts w:ascii="宋体" w:hAnsi="宋体" w:hint="eastAsia"/>
          <w:bCs/>
          <w:szCs w:val="21"/>
        </w:rPr>
        <w:lastRenderedPageBreak/>
        <w:t>技术服务</w:t>
      </w:r>
      <w:r>
        <w:rPr>
          <w:rFonts w:ascii="宋体" w:hAnsi="宋体" w:hint="eastAsia"/>
          <w:bCs/>
          <w:szCs w:val="21"/>
        </w:rPr>
        <w:t>等纳入</w:t>
      </w:r>
      <w:r>
        <w:rPr>
          <w:rFonts w:ascii="宋体" w:hAnsi="宋体" w:hint="eastAsia"/>
          <w:bCs/>
          <w:szCs w:val="21"/>
        </w:rPr>
        <w:t>测量管理体系，符合</w:t>
      </w:r>
      <w:r>
        <w:rPr>
          <w:rFonts w:ascii="宋体" w:hAnsi="宋体" w:hint="eastAsia"/>
          <w:bCs/>
          <w:szCs w:val="21"/>
        </w:rPr>
        <w:t>GB/T 19022-2003</w:t>
      </w:r>
      <w:r>
        <w:rPr>
          <w:rFonts w:ascii="宋体" w:hAnsi="宋体" w:hint="eastAsia"/>
          <w:bCs/>
          <w:szCs w:val="21"/>
        </w:rPr>
        <w:t>标准要求，对体系运行具有持续的有效性、符合性予以肯定</w:t>
      </w:r>
      <w:r>
        <w:rPr>
          <w:rFonts w:ascii="宋体" w:hAnsi="宋体" w:hint="eastAsia"/>
          <w:bCs/>
          <w:szCs w:val="21"/>
        </w:rPr>
        <w:t>，</w:t>
      </w:r>
      <w:r>
        <w:rPr>
          <w:rFonts w:ascii="宋体" w:hAnsi="宋体" w:hint="eastAsia"/>
          <w:bCs/>
          <w:szCs w:val="21"/>
        </w:rPr>
        <w:t>建议报请北京国标联合认证有限公司批准通过。</w:t>
      </w:r>
    </w:p>
    <w:p w:rsidR="005709C1" w:rsidRDefault="005709C1" w:rsidP="008A716A">
      <w:pPr>
        <w:widowControl/>
        <w:spacing w:line="360" w:lineRule="auto"/>
        <w:ind w:left="210" w:hangingChars="100" w:hanging="210"/>
        <w:rPr>
          <w:rFonts w:ascii="Times New Roman" w:hAnsi="Times New Roman" w:cs="Times New Roman"/>
          <w:bCs/>
          <w:kern w:val="0"/>
          <w:szCs w:val="21"/>
        </w:rPr>
      </w:pP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标志的使用和（或）任何其他对认证资格引用的情况：</w:t>
      </w:r>
    </w:p>
    <w:p w:rsidR="005709C1" w:rsidRDefault="000948A5">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5709C1" w:rsidRDefault="000948A5">
      <w:pPr>
        <w:widowControl/>
        <w:spacing w:line="360" w:lineRule="auto"/>
        <w:ind w:firstLineChars="200" w:firstLine="420"/>
        <w:rPr>
          <w:rFonts w:asci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5709C1" w:rsidRDefault="000948A5">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5709C1" w:rsidRDefault="000948A5">
      <w:pPr>
        <w:spacing w:line="360" w:lineRule="auto"/>
        <w:rPr>
          <w:rFonts w:ascii="宋体" w:hAnsi="宋体" w:cs="宋体"/>
          <w:kern w:val="0"/>
          <w:szCs w:val="21"/>
        </w:rPr>
      </w:pPr>
      <w:r>
        <w:rPr>
          <w:rFonts w:ascii="宋体" w:hAnsi="宋体" w:cs="宋体" w:hint="eastAsia"/>
          <w:b/>
          <w:bCs/>
          <w:kern w:val="0"/>
          <w:szCs w:val="21"/>
        </w:rPr>
        <w:t>10.1</w:t>
      </w:r>
      <w:r>
        <w:rPr>
          <w:rFonts w:ascii="宋体" w:hAnsi="宋体" w:cs="宋体" w:hint="eastAsia"/>
          <w:kern w:val="0"/>
          <w:szCs w:val="21"/>
        </w:rPr>
        <w:t>质量技术部</w:t>
      </w:r>
      <w:r>
        <w:rPr>
          <w:rFonts w:ascii="宋体" w:hAnsi="宋体" w:cs="宋体" w:hint="eastAsia"/>
          <w:kern w:val="0"/>
          <w:szCs w:val="21"/>
        </w:rPr>
        <w:t>提供的</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原材料检验记录</w:t>
      </w:r>
      <w:r>
        <w:rPr>
          <w:rFonts w:ascii="宋体" w:hAnsi="宋体" w:cs="宋体" w:hint="eastAsia"/>
          <w:kern w:val="0"/>
          <w:szCs w:val="21"/>
        </w:rPr>
        <w:t>”；</w:t>
      </w:r>
      <w:r>
        <w:rPr>
          <w:rFonts w:ascii="宋体" w:hAnsi="宋体" w:cs="宋体" w:hint="eastAsia"/>
          <w:kern w:val="0"/>
          <w:szCs w:val="21"/>
        </w:rPr>
        <w:t>产品名称：</w:t>
      </w:r>
      <w:r>
        <w:rPr>
          <w:rFonts w:ascii="宋体" w:eastAsia="宋体" w:hAnsi="宋体" w:cs="宋体" w:hint="eastAsia"/>
          <w:color w:val="000000"/>
          <w:kern w:val="0"/>
          <w:szCs w:val="21"/>
          <w:lang/>
        </w:rPr>
        <w:t>热镀锌方管</w:t>
      </w:r>
      <w:r>
        <w:rPr>
          <w:rFonts w:ascii="宋体" w:hAnsi="宋体" w:cs="宋体" w:hint="eastAsia"/>
          <w:color w:val="000000"/>
          <w:kern w:val="0"/>
          <w:szCs w:val="21"/>
          <w:lang/>
        </w:rPr>
        <w:t>，</w:t>
      </w:r>
      <w:r>
        <w:rPr>
          <w:rFonts w:ascii="宋体" w:hAnsi="宋体" w:cs="宋体" w:hint="eastAsia"/>
          <w:kern w:val="0"/>
          <w:szCs w:val="21"/>
        </w:rPr>
        <w:t>检验</w:t>
      </w:r>
      <w:r>
        <w:rPr>
          <w:rFonts w:ascii="宋体" w:hAnsi="宋体" w:cs="宋体" w:hint="eastAsia"/>
          <w:kern w:val="0"/>
          <w:szCs w:val="21"/>
        </w:rPr>
        <w:t>日期：</w:t>
      </w:r>
      <w:r>
        <w:rPr>
          <w:rFonts w:ascii="宋体" w:hAnsi="宋体" w:cs="宋体" w:hint="eastAsia"/>
          <w:kern w:val="0"/>
          <w:szCs w:val="21"/>
        </w:rPr>
        <w:t>202</w:t>
      </w:r>
      <w:r>
        <w:rPr>
          <w:rFonts w:ascii="宋体" w:hAnsi="宋体" w:cs="宋体" w:hint="eastAsia"/>
          <w:kern w:val="0"/>
          <w:szCs w:val="21"/>
        </w:rPr>
        <w:t>1</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11</w:t>
      </w:r>
      <w:r>
        <w:rPr>
          <w:rFonts w:ascii="宋体" w:hAnsi="宋体" w:cs="宋体" w:hint="eastAsia"/>
          <w:kern w:val="0"/>
          <w:szCs w:val="21"/>
        </w:rPr>
        <w:t>日，没</w:t>
      </w:r>
      <w:r>
        <w:rPr>
          <w:rFonts w:ascii="宋体" w:hAnsi="宋体" w:cs="宋体" w:hint="eastAsia"/>
          <w:kern w:val="0"/>
          <w:szCs w:val="21"/>
        </w:rPr>
        <w:t>有记录编号及验收依据标准等</w:t>
      </w:r>
      <w:r>
        <w:rPr>
          <w:rFonts w:ascii="宋体" w:hAnsi="宋体" w:cs="宋体" w:hint="eastAsia"/>
          <w:kern w:val="0"/>
          <w:szCs w:val="21"/>
        </w:rPr>
        <w:t>信息。</w:t>
      </w:r>
      <w:r>
        <w:rPr>
          <w:rFonts w:ascii="宋体" w:hAnsi="宋体" w:cs="宋体" w:hint="eastAsia"/>
          <w:kern w:val="0"/>
          <w:szCs w:val="21"/>
        </w:rPr>
        <w:t>不符合</w:t>
      </w:r>
      <w:r>
        <w:rPr>
          <w:rFonts w:ascii="宋体" w:hAnsi="宋体" w:cs="宋体" w:hint="eastAsia"/>
          <w:kern w:val="0"/>
          <w:szCs w:val="21"/>
        </w:rPr>
        <w:t>GB/T19022-2003</w:t>
      </w:r>
      <w:r>
        <w:rPr>
          <w:rFonts w:ascii="宋体" w:hAnsi="宋体" w:cs="宋体" w:hint="eastAsia"/>
          <w:kern w:val="0"/>
          <w:szCs w:val="21"/>
        </w:rPr>
        <w:t>标准中</w:t>
      </w:r>
      <w:r>
        <w:rPr>
          <w:rFonts w:ascii="宋体" w:hAnsi="宋体" w:cs="宋体" w:hint="eastAsia"/>
          <w:kern w:val="0"/>
          <w:szCs w:val="21"/>
        </w:rPr>
        <w:t>7.2.4</w:t>
      </w:r>
      <w:r>
        <w:rPr>
          <w:rFonts w:ascii="宋体" w:hAnsi="宋体" w:cs="宋体" w:hint="eastAsia"/>
          <w:kern w:val="0"/>
          <w:szCs w:val="21"/>
        </w:rPr>
        <w:t>条款“</w:t>
      </w:r>
      <w:r>
        <w:rPr>
          <w:rFonts w:ascii="宋体" w:hint="eastAsia"/>
          <w:szCs w:val="21"/>
        </w:rPr>
        <w:t>a</w:t>
      </w:r>
      <w:r>
        <w:rPr>
          <w:rFonts w:ascii="宋体" w:hint="eastAsia"/>
          <w:szCs w:val="21"/>
        </w:rPr>
        <w:t>）实施的测量过程的完整表述，包括所用的全部要素（例如操作者、测量设备或核查标准）和相关的操作条件</w:t>
      </w:r>
      <w:r>
        <w:rPr>
          <w:rFonts w:ascii="宋体" w:hAnsi="宋体" w:cs="宋体" w:hint="eastAsia"/>
          <w:kern w:val="0"/>
          <w:szCs w:val="21"/>
        </w:rPr>
        <w:t>。”的规定要求</w:t>
      </w:r>
      <w:r>
        <w:rPr>
          <w:rFonts w:ascii="宋体" w:hAnsi="宋体" w:cs="宋体" w:hint="eastAsia"/>
          <w:kern w:val="0"/>
          <w:szCs w:val="21"/>
        </w:rPr>
        <w:t>。</w:t>
      </w:r>
      <w:r>
        <w:rPr>
          <w:rFonts w:ascii="宋体" w:hAnsi="宋体" w:cs="宋体" w:hint="eastAsia"/>
          <w:kern w:val="0"/>
          <w:szCs w:val="21"/>
        </w:rPr>
        <w:t>属于次要不符合项。</w:t>
      </w:r>
    </w:p>
    <w:p w:rsidR="005709C1" w:rsidRDefault="000948A5">
      <w:pPr>
        <w:spacing w:line="360" w:lineRule="auto"/>
        <w:ind w:firstLine="480"/>
        <w:rPr>
          <w:rFonts w:ascii="宋体" w:hAnsi="宋体" w:cs="宋体"/>
          <w:bCs/>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5709C1" w:rsidRDefault="000948A5">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
          <w:bCs/>
          <w:kern w:val="0"/>
          <w:szCs w:val="21"/>
        </w:rPr>
        <w:t>、能耗方面：</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东营市久诺尔石油设备有限公司</w:t>
      </w:r>
      <w:r>
        <w:rPr>
          <w:rFonts w:ascii="Times New Roman" w:hAnsi="Times New Roman" w:cs="Times New Roman"/>
          <w:bCs/>
          <w:kern w:val="0"/>
          <w:szCs w:val="21"/>
        </w:rPr>
        <w:t>，</w:t>
      </w:r>
      <w:r>
        <w:rPr>
          <w:rFonts w:ascii="宋体" w:hAnsi="宋体" w:hint="eastAsia"/>
          <w:color w:val="000000"/>
          <w:szCs w:val="21"/>
        </w:rPr>
        <w:t>主要耗能为电</w:t>
      </w:r>
      <w:r>
        <w:rPr>
          <w:rFonts w:ascii="宋体" w:hAnsi="宋体" w:hint="eastAsia"/>
          <w:color w:val="000000"/>
          <w:szCs w:val="21"/>
        </w:rPr>
        <w:t>和水</w:t>
      </w:r>
      <w:r>
        <w:rPr>
          <w:rFonts w:ascii="宋体" w:hAnsi="宋体" w:hint="eastAsia"/>
          <w:color w:val="000000"/>
          <w:szCs w:val="21"/>
        </w:rPr>
        <w:t>；</w:t>
      </w:r>
      <w:r>
        <w:rPr>
          <w:rFonts w:ascii="宋体" w:hAnsi="宋体" w:cs="宋体" w:hint="eastAsia"/>
          <w:bCs/>
          <w:kern w:val="0"/>
          <w:szCs w:val="21"/>
        </w:rPr>
        <w:t>企业</w:t>
      </w:r>
      <w:r>
        <w:rPr>
          <w:rFonts w:ascii="宋体" w:hAnsi="宋体" w:cs="宋体" w:hint="eastAsia"/>
          <w:bCs/>
          <w:kern w:val="0"/>
          <w:szCs w:val="21"/>
        </w:rPr>
        <w:t>2020</w:t>
      </w:r>
      <w:r>
        <w:rPr>
          <w:rFonts w:ascii="宋体" w:hAnsi="宋体" w:cs="宋体" w:hint="eastAsia"/>
          <w:bCs/>
          <w:kern w:val="0"/>
          <w:szCs w:val="21"/>
        </w:rPr>
        <w:t>年</w:t>
      </w:r>
      <w:r>
        <w:rPr>
          <w:rFonts w:ascii="宋体" w:hAnsi="宋体" w:cs="宋体" w:hint="eastAsia"/>
          <w:bCs/>
          <w:kern w:val="0"/>
          <w:szCs w:val="21"/>
        </w:rPr>
        <w:t>1</w:t>
      </w:r>
      <w:r>
        <w:rPr>
          <w:rFonts w:ascii="宋体" w:hAnsi="宋体" w:cs="宋体" w:hint="eastAsia"/>
          <w:bCs/>
          <w:kern w:val="0"/>
          <w:szCs w:val="21"/>
        </w:rPr>
        <w:t>月至</w:t>
      </w:r>
      <w:r>
        <w:rPr>
          <w:rFonts w:ascii="宋体" w:hAnsi="宋体" w:cs="宋体" w:hint="eastAsia"/>
          <w:bCs/>
          <w:kern w:val="0"/>
          <w:szCs w:val="21"/>
        </w:rPr>
        <w:t>2020</w:t>
      </w:r>
      <w:r>
        <w:rPr>
          <w:rFonts w:ascii="宋体" w:hAnsi="宋体" w:cs="宋体" w:hint="eastAsia"/>
          <w:bCs/>
          <w:kern w:val="0"/>
          <w:szCs w:val="21"/>
        </w:rPr>
        <w:t>年</w:t>
      </w:r>
      <w:r>
        <w:rPr>
          <w:rFonts w:ascii="宋体" w:hAnsi="宋体" w:cs="宋体" w:hint="eastAsia"/>
          <w:bCs/>
          <w:kern w:val="0"/>
          <w:szCs w:val="21"/>
        </w:rPr>
        <w:t>12</w:t>
      </w:r>
      <w:r>
        <w:rPr>
          <w:rFonts w:ascii="宋体" w:hAnsi="宋体" w:cs="宋体" w:hint="eastAsia"/>
          <w:bCs/>
          <w:kern w:val="0"/>
          <w:szCs w:val="21"/>
        </w:rPr>
        <w:t>月</w:t>
      </w:r>
      <w:r>
        <w:rPr>
          <w:rFonts w:ascii="宋体" w:hAnsi="宋体" w:cs="宋体" w:hint="eastAsia"/>
          <w:bCs/>
          <w:kern w:val="0"/>
          <w:szCs w:val="21"/>
        </w:rPr>
        <w:t>耗能为</w:t>
      </w:r>
      <w:r>
        <w:rPr>
          <w:rFonts w:ascii="宋体" w:hAnsi="宋体" w:cs="宋体" w:hint="eastAsia"/>
          <w:bCs/>
          <w:kern w:val="0"/>
          <w:szCs w:val="21"/>
        </w:rPr>
        <w:t>1.24</w:t>
      </w:r>
      <w:r>
        <w:rPr>
          <w:rFonts w:ascii="宋体" w:hAnsi="宋体" w:cs="宋体" w:hint="eastAsia"/>
          <w:bCs/>
          <w:kern w:val="0"/>
          <w:szCs w:val="21"/>
        </w:rPr>
        <w:t>吨标煤</w:t>
      </w:r>
      <w:r>
        <w:rPr>
          <w:rFonts w:ascii="宋体" w:hAnsi="宋体" w:hint="eastAsia"/>
          <w:color w:val="000000"/>
          <w:szCs w:val="21"/>
        </w:rPr>
        <w:t>。不是重点用能单位。</w:t>
      </w:r>
      <w:r>
        <w:rPr>
          <w:rFonts w:ascii="Times New Roman" w:hAnsi="Times New Roman" w:cs="Times New Roman"/>
          <w:bCs/>
          <w:kern w:val="0"/>
          <w:szCs w:val="21"/>
        </w:rPr>
        <w:t>能源设备配备率和检测率满足标准要求。</w:t>
      </w:r>
    </w:p>
    <w:p w:rsidR="005709C1" w:rsidRDefault="005709C1">
      <w:pPr>
        <w:widowControl/>
        <w:spacing w:line="360" w:lineRule="auto"/>
        <w:ind w:firstLineChars="200" w:firstLine="420"/>
        <w:rPr>
          <w:rFonts w:ascii="Times New Roman" w:hAnsi="Times New Roman" w:cs="Times New Roman"/>
          <w:bCs/>
          <w:kern w:val="0"/>
          <w:szCs w:val="21"/>
        </w:rPr>
      </w:pPr>
    </w:p>
    <w:p w:rsidR="005709C1" w:rsidRDefault="000948A5">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hint="eastAsia"/>
          <w:bCs/>
          <w:kern w:val="0"/>
          <w:szCs w:val="21"/>
        </w:rPr>
        <w:t>年</w:t>
      </w:r>
      <w:r>
        <w:rPr>
          <w:rFonts w:ascii="Times New Roman" w:hAnsi="Times New Roman" w:cs="Times New Roman" w:hint="eastAsia"/>
          <w:bCs/>
          <w:kern w:val="0"/>
          <w:szCs w:val="21"/>
        </w:rPr>
        <w:t>01</w:t>
      </w:r>
      <w:r>
        <w:rPr>
          <w:rFonts w:ascii="Times New Roman" w:hAnsi="Times New Roman" w:cs="Times New Roman"/>
          <w:bCs/>
          <w:kern w:val="0"/>
          <w:szCs w:val="21"/>
        </w:rPr>
        <w:t>月</w:t>
      </w:r>
      <w:r>
        <w:rPr>
          <w:rFonts w:ascii="Times New Roman" w:hAnsi="Times New Roman" w:cs="Times New Roman" w:hint="eastAsia"/>
          <w:bCs/>
          <w:kern w:val="0"/>
          <w:szCs w:val="21"/>
        </w:rPr>
        <w:t>19-20</w:t>
      </w:r>
      <w:r>
        <w:rPr>
          <w:rFonts w:ascii="Times New Roman" w:hAnsi="Times New Roman" w:cs="Times New Roman"/>
          <w:bCs/>
          <w:kern w:val="0"/>
          <w:szCs w:val="21"/>
        </w:rPr>
        <w:t>日，对</w:t>
      </w:r>
      <w:r>
        <w:rPr>
          <w:rFonts w:ascii="Times New Roman" w:hAnsi="Times New Roman" w:cs="Times New Roman" w:hint="eastAsia"/>
          <w:bCs/>
          <w:kern w:val="0"/>
          <w:szCs w:val="21"/>
        </w:rPr>
        <w:t>东营市久诺尔石油设备有限公司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w:t>
      </w:r>
      <w:r>
        <w:rPr>
          <w:rFonts w:ascii="Times New Roman" w:hAnsi="Times New Roman" w:cs="Times New Roman"/>
          <w:bCs/>
          <w:kern w:val="0"/>
          <w:szCs w:val="21"/>
        </w:rPr>
        <w:t>监督</w:t>
      </w:r>
      <w:r>
        <w:rPr>
          <w:rFonts w:ascii="Times New Roman" w:hAnsi="Times New Roman" w:cs="Times New Roman" w:hint="eastAsia"/>
          <w:bCs/>
          <w:kern w:val="0"/>
          <w:szCs w:val="21"/>
        </w:rPr>
        <w:t>+</w:t>
      </w:r>
      <w:r>
        <w:rPr>
          <w:rFonts w:ascii="Times New Roman" w:hAnsi="Times New Roman" w:cs="Times New Roman" w:hint="eastAsia"/>
          <w:bCs/>
          <w:kern w:val="0"/>
          <w:szCs w:val="21"/>
        </w:rPr>
        <w:t>扩项</w:t>
      </w:r>
      <w:r>
        <w:rPr>
          <w:rFonts w:ascii="Times New Roman" w:hAnsi="Times New Roman" w:cs="Times New Roman"/>
          <w:bCs/>
          <w:kern w:val="0"/>
          <w:szCs w:val="21"/>
        </w:rPr>
        <w:t>审核，验证了公司在测量管理体系在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上年认证后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东营市久诺尔石油设备有限公</w:t>
      </w:r>
      <w:r>
        <w:rPr>
          <w:rFonts w:ascii="Times New Roman" w:hAnsi="Times New Roman" w:cs="Times New Roman" w:hint="eastAsia"/>
          <w:bCs/>
          <w:kern w:val="0"/>
          <w:szCs w:val="21"/>
        </w:rPr>
        <w:t>司</w:t>
      </w:r>
      <w:r>
        <w:rPr>
          <w:rFonts w:ascii="Times New Roman" w:hAnsi="Times New Roman" w:cs="Times New Roman"/>
          <w:bCs/>
          <w:kern w:val="0"/>
          <w:szCs w:val="21"/>
        </w:rPr>
        <w:t>，符合</w:t>
      </w:r>
      <w:r>
        <w:rPr>
          <w:rFonts w:ascii="Times New Roman" w:hAnsi="Times New Roman" w:cs="Times New Roman"/>
          <w:bCs/>
          <w:kern w:val="0"/>
          <w:szCs w:val="21"/>
        </w:rPr>
        <w:t>GB/T 19022-2003</w:t>
      </w:r>
      <w:r>
        <w:rPr>
          <w:rFonts w:ascii="Times New Roman" w:hAnsi="Times New Roman" w:cs="Times New Roman"/>
          <w:bCs/>
          <w:kern w:val="0"/>
          <w:szCs w:val="21"/>
        </w:rPr>
        <w:t>标准要求，对体系运行具有持续的有效性、符合性予以肯定。建议报请国标联合认证有限公司批准通过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rsidR="005709C1" w:rsidRDefault="000948A5">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lastRenderedPageBreak/>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5709C1" w:rsidRDefault="005709C1">
      <w:pPr>
        <w:widowControl/>
        <w:spacing w:line="276" w:lineRule="auto"/>
        <w:ind w:right="945"/>
        <w:jc w:val="right"/>
        <w:rPr>
          <w:rFonts w:ascii="Times New Roman" w:eastAsia="宋体" w:hAnsi="Times New Roman" w:cs="Times New Roman"/>
          <w:kern w:val="0"/>
          <w:szCs w:val="28"/>
        </w:rPr>
      </w:pPr>
    </w:p>
    <w:p w:rsidR="005709C1" w:rsidRDefault="005709C1">
      <w:pPr>
        <w:widowControl/>
        <w:spacing w:line="276" w:lineRule="auto"/>
        <w:jc w:val="left"/>
        <w:rPr>
          <w:rFonts w:ascii="Times New Roman" w:eastAsia="宋体" w:hAnsi="Times New Roman" w:cs="Times New Roman"/>
          <w:b/>
          <w:kern w:val="0"/>
          <w:szCs w:val="28"/>
        </w:rPr>
      </w:pPr>
    </w:p>
    <w:p w:rsidR="005709C1" w:rsidRDefault="000948A5">
      <w:pPr>
        <w:widowControl/>
        <w:spacing w:line="276" w:lineRule="auto"/>
        <w:jc w:val="left"/>
        <w:rPr>
          <w:rFonts w:ascii="Times New Roman" w:eastAsia="宋体" w:hAnsi="Times New Roman" w:cs="Times New Roman"/>
          <w:b/>
          <w:kern w:val="0"/>
          <w:szCs w:val="28"/>
        </w:rPr>
      </w:pPr>
      <w:r>
        <w:rPr>
          <w:rFonts w:ascii="Times New Roman" w:eastAsia="宋体" w:hAnsi="Times New Roman" w:cs="Times New Roman"/>
          <w:b/>
          <w:kern w:val="0"/>
          <w:szCs w:val="28"/>
        </w:rPr>
        <w:t>审核员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Pr>
          <w:rFonts w:ascii="Times New Roman" w:eastAsia="宋体" w:hAnsi="Times New Roman" w:cs="Times New Roman" w:hint="eastAsia"/>
          <w:noProof/>
          <w:szCs w:val="21"/>
        </w:rPr>
        <w:drawing>
          <wp:inline distT="0" distB="0" distL="114300" distR="114300">
            <wp:extent cx="57150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71500" cy="381000"/>
                    </a:xfrm>
                    <a:prstGeom prst="rect">
                      <a:avLst/>
                    </a:prstGeom>
                    <a:noFill/>
                    <a:ln>
                      <a:noFill/>
                    </a:ln>
                  </pic:spPr>
                </pic:pic>
              </a:graphicData>
            </a:graphic>
          </wp:inline>
        </w:drawing>
      </w:r>
      <w:r>
        <w:rPr>
          <w:rFonts w:ascii="Times New Roman" w:eastAsia="宋体" w:hAnsi="Times New Roman" w:cs="Times New Roman"/>
          <w:kern w:val="0"/>
          <w:szCs w:val="28"/>
        </w:rPr>
        <w:t xml:space="preserve">  </w:t>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2021.01.20</w:t>
      </w:r>
    </w:p>
    <w:p w:rsidR="005709C1" w:rsidRDefault="005709C1">
      <w:pPr>
        <w:widowControl/>
        <w:spacing w:line="276" w:lineRule="auto"/>
        <w:ind w:right="945"/>
        <w:jc w:val="left"/>
        <w:rPr>
          <w:rFonts w:ascii="Times New Roman" w:eastAsia="宋体" w:hAnsi="Times New Roman" w:cs="Times New Roman"/>
          <w:b/>
          <w:kern w:val="0"/>
          <w:szCs w:val="28"/>
        </w:rPr>
      </w:pPr>
    </w:p>
    <w:p w:rsidR="005709C1" w:rsidRPr="008A716A" w:rsidRDefault="005709C1">
      <w:pPr>
        <w:widowControl/>
        <w:spacing w:line="276" w:lineRule="auto"/>
        <w:ind w:right="945"/>
        <w:jc w:val="left"/>
        <w:rPr>
          <w:rFonts w:ascii="Times New Roman" w:eastAsia="宋体" w:hAnsi="Times New Roman" w:cs="Times New Roman"/>
          <w:b/>
          <w:kern w:val="0"/>
          <w:szCs w:val="28"/>
        </w:rPr>
      </w:pPr>
    </w:p>
    <w:sectPr w:rsidR="005709C1" w:rsidRPr="008A716A" w:rsidSect="005709C1">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8A5" w:rsidRDefault="000948A5" w:rsidP="005709C1">
      <w:r>
        <w:separator/>
      </w:r>
    </w:p>
  </w:endnote>
  <w:endnote w:type="continuationSeparator" w:id="1">
    <w:p w:rsidR="000948A5" w:rsidRDefault="000948A5" w:rsidP="00570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8A5" w:rsidRDefault="000948A5" w:rsidP="005709C1">
      <w:r>
        <w:separator/>
      </w:r>
    </w:p>
  </w:footnote>
  <w:footnote w:type="continuationSeparator" w:id="1">
    <w:p w:rsidR="000948A5" w:rsidRDefault="000948A5" w:rsidP="00570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9C1" w:rsidRDefault="000948A5">
    <w:pPr>
      <w:pStyle w:val="a4"/>
      <w:pBdr>
        <w:bottom w:val="none" w:sz="0" w:space="0" w:color="auto"/>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709C1" w:rsidRDefault="005709C1">
    <w:pPr>
      <w:pStyle w:val="a4"/>
      <w:pBdr>
        <w:bottom w:val="none" w:sz="0" w:space="0" w:color="auto"/>
      </w:pBdr>
      <w:spacing w:line="320" w:lineRule="exact"/>
      <w:jc w:val="left"/>
      <w:rPr>
        <w:rStyle w:val="CharChar1"/>
        <w:rFonts w:ascii="Times New Roman" w:hAnsi="Times New Roman" w:cs="Times New Roman" w:hint="default"/>
        <w:szCs w:val="21"/>
      </w:rPr>
    </w:pPr>
    <w:r w:rsidRPr="005709C1">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5709C1" w:rsidRDefault="000948A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948A5">
      <w:rPr>
        <w:rStyle w:val="CharChar1"/>
        <w:rFonts w:ascii="Times New Roman" w:hAnsi="Times New Roman" w:cs="Times New Roman" w:hint="default"/>
        <w:szCs w:val="21"/>
      </w:rPr>
      <w:t>北京国标联合认证有限公司</w:t>
    </w:r>
  </w:p>
  <w:p w:rsidR="005709C1" w:rsidRDefault="000948A5">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5709C1" w:rsidRDefault="005709C1">
    <w:pPr>
      <w:rPr>
        <w:sz w:val="18"/>
        <w:szCs w:val="18"/>
      </w:rPr>
    </w:pPr>
    <w:r w:rsidRPr="005709C1">
      <w:rPr>
        <w:sz w:val="18"/>
      </w:rPr>
      <w:pict>
        <v:line id="直线 3" o:spid="_x0000_s3074" style="position:absolute;left:0;text-align:left;z-index:251658752" from="-23.7pt,2.35pt" to="436.9pt,3.05pt"/>
      </w:pict>
    </w:r>
    <w:bookmarkEnd w:id="5"/>
  </w:p>
  <w:p w:rsidR="005709C1" w:rsidRDefault="005709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FA352"/>
    <w:multiLevelType w:val="singleLevel"/>
    <w:tmpl w:val="704FA352"/>
    <w:lvl w:ilvl="0">
      <w:start w:val="8"/>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6A8"/>
    <w:rsid w:val="000376B5"/>
    <w:rsid w:val="000948A5"/>
    <w:rsid w:val="000F6AC3"/>
    <w:rsid w:val="000F77E1"/>
    <w:rsid w:val="001341C4"/>
    <w:rsid w:val="0024174F"/>
    <w:rsid w:val="002D0FBE"/>
    <w:rsid w:val="002E5C69"/>
    <w:rsid w:val="0031048C"/>
    <w:rsid w:val="003D292D"/>
    <w:rsid w:val="003F1E8A"/>
    <w:rsid w:val="00451E2E"/>
    <w:rsid w:val="00461B80"/>
    <w:rsid w:val="00494378"/>
    <w:rsid w:val="005343F0"/>
    <w:rsid w:val="005709C1"/>
    <w:rsid w:val="00575ACA"/>
    <w:rsid w:val="005D235D"/>
    <w:rsid w:val="00634907"/>
    <w:rsid w:val="006563FB"/>
    <w:rsid w:val="00706B00"/>
    <w:rsid w:val="00762596"/>
    <w:rsid w:val="00764373"/>
    <w:rsid w:val="00781C2E"/>
    <w:rsid w:val="007A4A41"/>
    <w:rsid w:val="00831ED4"/>
    <w:rsid w:val="0086107A"/>
    <w:rsid w:val="00874822"/>
    <w:rsid w:val="008A674E"/>
    <w:rsid w:val="008A716A"/>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2D61858"/>
    <w:rsid w:val="060A2C1F"/>
    <w:rsid w:val="06255583"/>
    <w:rsid w:val="069E5AB7"/>
    <w:rsid w:val="07CB0C61"/>
    <w:rsid w:val="093022F8"/>
    <w:rsid w:val="0AAC43F2"/>
    <w:rsid w:val="0B6A287A"/>
    <w:rsid w:val="0B9C159A"/>
    <w:rsid w:val="0C4A062D"/>
    <w:rsid w:val="0CF4221B"/>
    <w:rsid w:val="0D335818"/>
    <w:rsid w:val="0DFC7968"/>
    <w:rsid w:val="0E553E18"/>
    <w:rsid w:val="0E8A307E"/>
    <w:rsid w:val="0FF0784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E86A55"/>
    <w:rsid w:val="191875B9"/>
    <w:rsid w:val="192F5B1C"/>
    <w:rsid w:val="1A9066D8"/>
    <w:rsid w:val="1ACB2E07"/>
    <w:rsid w:val="1B6E0BCC"/>
    <w:rsid w:val="1DB528F4"/>
    <w:rsid w:val="1E8D2076"/>
    <w:rsid w:val="1F96490F"/>
    <w:rsid w:val="1FD87C5A"/>
    <w:rsid w:val="202E5BEC"/>
    <w:rsid w:val="205A621D"/>
    <w:rsid w:val="221F4A52"/>
    <w:rsid w:val="22D6310F"/>
    <w:rsid w:val="234C1DE6"/>
    <w:rsid w:val="236837F1"/>
    <w:rsid w:val="24F53972"/>
    <w:rsid w:val="26D61E0E"/>
    <w:rsid w:val="290D70F9"/>
    <w:rsid w:val="294A7B5F"/>
    <w:rsid w:val="29EC5CDB"/>
    <w:rsid w:val="2CAB432C"/>
    <w:rsid w:val="2DD74E91"/>
    <w:rsid w:val="2E000AD3"/>
    <w:rsid w:val="2E92798F"/>
    <w:rsid w:val="2E94229B"/>
    <w:rsid w:val="2EE23BD1"/>
    <w:rsid w:val="30DE05E1"/>
    <w:rsid w:val="31BE3393"/>
    <w:rsid w:val="33947CD2"/>
    <w:rsid w:val="34D4260D"/>
    <w:rsid w:val="367709AC"/>
    <w:rsid w:val="36823C9C"/>
    <w:rsid w:val="37596989"/>
    <w:rsid w:val="378B295A"/>
    <w:rsid w:val="37C53059"/>
    <w:rsid w:val="38505CE2"/>
    <w:rsid w:val="38B518FA"/>
    <w:rsid w:val="38E460E2"/>
    <w:rsid w:val="39364992"/>
    <w:rsid w:val="3A8F40F6"/>
    <w:rsid w:val="3AF34A65"/>
    <w:rsid w:val="3B6C0871"/>
    <w:rsid w:val="3D8C65CA"/>
    <w:rsid w:val="3F5A39F0"/>
    <w:rsid w:val="3F5A7BBB"/>
    <w:rsid w:val="3FD079A4"/>
    <w:rsid w:val="410611B0"/>
    <w:rsid w:val="4119198D"/>
    <w:rsid w:val="415E78AA"/>
    <w:rsid w:val="42C727C5"/>
    <w:rsid w:val="43584738"/>
    <w:rsid w:val="4453192D"/>
    <w:rsid w:val="44D943E8"/>
    <w:rsid w:val="46425F4D"/>
    <w:rsid w:val="46FF1A20"/>
    <w:rsid w:val="478068A7"/>
    <w:rsid w:val="47B32C1A"/>
    <w:rsid w:val="47B758BF"/>
    <w:rsid w:val="4B646F95"/>
    <w:rsid w:val="4CD650EE"/>
    <w:rsid w:val="4D3B07E4"/>
    <w:rsid w:val="4DF83EDC"/>
    <w:rsid w:val="4E2C127C"/>
    <w:rsid w:val="4E450A7C"/>
    <w:rsid w:val="4F4C158E"/>
    <w:rsid w:val="4F966158"/>
    <w:rsid w:val="50975894"/>
    <w:rsid w:val="50AB3606"/>
    <w:rsid w:val="52450263"/>
    <w:rsid w:val="52CF4CBD"/>
    <w:rsid w:val="55C948E7"/>
    <w:rsid w:val="560936BF"/>
    <w:rsid w:val="56BD4064"/>
    <w:rsid w:val="57B34F29"/>
    <w:rsid w:val="584066CD"/>
    <w:rsid w:val="59EE788F"/>
    <w:rsid w:val="5A335F8D"/>
    <w:rsid w:val="5A4E23BB"/>
    <w:rsid w:val="5AEA42C2"/>
    <w:rsid w:val="5C132391"/>
    <w:rsid w:val="5DA46180"/>
    <w:rsid w:val="60C64E46"/>
    <w:rsid w:val="62BA3AD0"/>
    <w:rsid w:val="63C16F8E"/>
    <w:rsid w:val="63FC6CAF"/>
    <w:rsid w:val="653A5005"/>
    <w:rsid w:val="654B5DFD"/>
    <w:rsid w:val="65C01B44"/>
    <w:rsid w:val="660C5331"/>
    <w:rsid w:val="67785AFC"/>
    <w:rsid w:val="6969605B"/>
    <w:rsid w:val="6B9A7111"/>
    <w:rsid w:val="6CC32C31"/>
    <w:rsid w:val="6F264392"/>
    <w:rsid w:val="6F2A687E"/>
    <w:rsid w:val="6FCF21C7"/>
    <w:rsid w:val="70C73DB5"/>
    <w:rsid w:val="729F40AE"/>
    <w:rsid w:val="73877C76"/>
    <w:rsid w:val="738E408B"/>
    <w:rsid w:val="7405196C"/>
    <w:rsid w:val="74062830"/>
    <w:rsid w:val="74243E8A"/>
    <w:rsid w:val="7567525C"/>
    <w:rsid w:val="75E04B0D"/>
    <w:rsid w:val="77555FF3"/>
    <w:rsid w:val="784E5A3C"/>
    <w:rsid w:val="788E567B"/>
    <w:rsid w:val="79D365C5"/>
    <w:rsid w:val="79E91D60"/>
    <w:rsid w:val="7AE25BD9"/>
    <w:rsid w:val="7B63548B"/>
    <w:rsid w:val="7CB55D5F"/>
    <w:rsid w:val="7EA333B8"/>
    <w:rsid w:val="7EEE16D3"/>
    <w:rsid w:val="7F6C75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C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09C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709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709C1"/>
    <w:rPr>
      <w:sz w:val="18"/>
      <w:szCs w:val="18"/>
    </w:rPr>
  </w:style>
  <w:style w:type="character" w:customStyle="1" w:styleId="Char">
    <w:name w:val="页脚 Char"/>
    <w:basedOn w:val="a0"/>
    <w:link w:val="a3"/>
    <w:uiPriority w:val="99"/>
    <w:qFormat/>
    <w:rsid w:val="005709C1"/>
    <w:rPr>
      <w:sz w:val="18"/>
      <w:szCs w:val="18"/>
    </w:rPr>
  </w:style>
  <w:style w:type="character" w:customStyle="1" w:styleId="CharChar1">
    <w:name w:val="Char Char1"/>
    <w:qFormat/>
    <w:locked/>
    <w:rsid w:val="005709C1"/>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A716A"/>
    <w:rPr>
      <w:sz w:val="18"/>
      <w:szCs w:val="18"/>
    </w:rPr>
  </w:style>
  <w:style w:type="character" w:customStyle="1" w:styleId="Char1">
    <w:name w:val="批注框文本 Char"/>
    <w:basedOn w:val="a0"/>
    <w:link w:val="a5"/>
    <w:uiPriority w:val="99"/>
    <w:semiHidden/>
    <w:rsid w:val="008A716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80</cp:revision>
  <cp:lastPrinted>2017-09-01T06:24:00Z</cp:lastPrinted>
  <dcterms:created xsi:type="dcterms:W3CDTF">2015-10-10T03:59:00Z</dcterms:created>
  <dcterms:modified xsi:type="dcterms:W3CDTF">2021-01-25T10:26:00Z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