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05702B" w:rsidP="002C679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05702B" w:rsidP="002C679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6769D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05702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05702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安徽博奥新型建材有限公司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05702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05702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05702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16.02.01</w:t>
            </w:r>
          </w:p>
          <w:p w:rsidR="00AE4B04" w:rsidRDefault="0005702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16.02.01</w:t>
            </w:r>
          </w:p>
          <w:p w:rsidR="00AE4B04" w:rsidRDefault="0005702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16.02.01</w:t>
            </w:r>
            <w:bookmarkEnd w:id="5"/>
          </w:p>
        </w:tc>
      </w:tr>
      <w:tr w:rsidR="006769D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05702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AE4B04" w:rsidRDefault="00B550B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AE4B04" w:rsidRDefault="0005702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550B1" w:rsidRDefault="00B550B1" w:rsidP="00B550B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16.02.01</w:t>
            </w:r>
          </w:p>
          <w:p w:rsidR="00B550B1" w:rsidRDefault="00B550B1" w:rsidP="00B550B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16.02.01</w:t>
            </w:r>
          </w:p>
          <w:p w:rsidR="00AE4B04" w:rsidRDefault="00B550B1" w:rsidP="00B550B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16.02.01</w:t>
            </w:r>
          </w:p>
        </w:tc>
        <w:tc>
          <w:tcPr>
            <w:tcW w:w="1720" w:type="dxa"/>
            <w:vAlign w:val="center"/>
          </w:tcPr>
          <w:p w:rsidR="00AE4B04" w:rsidRDefault="0005702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B550B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B550B1" w:rsidTr="00C12A5E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550B1" w:rsidRDefault="00B550B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B550B1" w:rsidRDefault="00B550B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3820" w:type="dxa"/>
            <w:gridSpan w:val="2"/>
            <w:vAlign w:val="center"/>
          </w:tcPr>
          <w:p w:rsidR="00B550B1" w:rsidRDefault="00B550B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张磊</w:t>
            </w:r>
          </w:p>
        </w:tc>
        <w:tc>
          <w:tcPr>
            <w:tcW w:w="1505" w:type="dxa"/>
            <w:vAlign w:val="center"/>
          </w:tcPr>
          <w:p w:rsidR="00B550B1" w:rsidRDefault="00B550B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550B1" w:rsidRDefault="00B550B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550B1" w:rsidRDefault="00B550B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550B1" w:rsidTr="00E95FC1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550B1" w:rsidRDefault="00B550B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B550B1" w:rsidRDefault="00B550B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</w:t>
            </w: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3820" w:type="dxa"/>
            <w:gridSpan w:val="2"/>
            <w:vAlign w:val="center"/>
          </w:tcPr>
          <w:p w:rsidR="00B550B1" w:rsidRDefault="00B550B1" w:rsidP="00B550B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16.02.01</w:t>
            </w:r>
          </w:p>
          <w:p w:rsidR="00B550B1" w:rsidRDefault="00B550B1" w:rsidP="00B550B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16.02.01</w:t>
            </w:r>
          </w:p>
          <w:p w:rsidR="00B550B1" w:rsidRDefault="00B550B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16.02.01</w:t>
            </w:r>
          </w:p>
        </w:tc>
        <w:tc>
          <w:tcPr>
            <w:tcW w:w="1505" w:type="dxa"/>
            <w:vAlign w:val="center"/>
          </w:tcPr>
          <w:p w:rsidR="00B550B1" w:rsidRDefault="00B550B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550B1" w:rsidRDefault="00B550B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550B1" w:rsidRDefault="00B550B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769D2" w:rsidTr="00095E63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05702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05702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B550B1" w:rsidRPr="00B550B1" w:rsidRDefault="00B550B1" w:rsidP="00B550B1">
            <w:pPr>
              <w:spacing w:line="360" w:lineRule="auto"/>
              <w:ind w:firstLineChars="200" w:firstLine="420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B550B1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原材料制备→配料→浇注入模→</w:t>
            </w:r>
            <w:proofErr w:type="gramStart"/>
            <w:r w:rsidRPr="00B550B1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静停</w:t>
            </w:r>
            <w:proofErr w:type="gramEnd"/>
            <w:r w:rsidRPr="00B550B1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→脱模→切割→蒸压养护→出</w:t>
            </w:r>
            <w:proofErr w:type="gramStart"/>
            <w:r w:rsidRPr="00B550B1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釜</w:t>
            </w:r>
            <w:proofErr w:type="gramEnd"/>
            <w:r w:rsidRPr="00B550B1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→检验→入库→交付</w:t>
            </w:r>
          </w:p>
          <w:p w:rsidR="00AE4B04" w:rsidRPr="00B550B1" w:rsidRDefault="00B550B1" w:rsidP="00B550B1">
            <w:pPr>
              <w:spacing w:line="360" w:lineRule="auto"/>
              <w:ind w:firstLineChars="200" w:firstLine="420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B550B1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 xml:space="preserve"> 需确认过程：无。</w:t>
            </w:r>
          </w:p>
        </w:tc>
      </w:tr>
      <w:tr w:rsidR="00B550B1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550B1" w:rsidRPr="0059207A" w:rsidRDefault="00B550B1" w:rsidP="00B96669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生产过程</w:t>
            </w:r>
            <w:r w:rsidRPr="0059207A">
              <w:rPr>
                <w:b/>
                <w:sz w:val="21"/>
                <w:szCs w:val="21"/>
              </w:rPr>
              <w:t>/</w:t>
            </w:r>
            <w:r w:rsidRPr="0059207A">
              <w:rPr>
                <w:rFonts w:hint="eastAsia"/>
                <w:b/>
                <w:sz w:val="21"/>
                <w:szCs w:val="21"/>
              </w:rPr>
              <w:t>服务过程</w:t>
            </w:r>
          </w:p>
          <w:p w:rsidR="00B550B1" w:rsidRPr="0059207A" w:rsidRDefault="00B550B1" w:rsidP="00B96669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的风险及控制措施</w:t>
            </w:r>
          </w:p>
          <w:p w:rsidR="00B550B1" w:rsidRPr="0059207A" w:rsidRDefault="00B550B1" w:rsidP="00B96669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 w:rsidR="00B550B1" w:rsidRPr="0059207A" w:rsidRDefault="00B550B1" w:rsidP="00B96669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关键控制点：</w:t>
            </w:r>
            <w:r w:rsidRPr="00B550B1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浇注入模</w:t>
            </w:r>
            <w:r w:rsidRPr="00B550B1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、</w:t>
            </w:r>
            <w:r w:rsidRPr="00B550B1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蒸压养护</w:t>
            </w:r>
            <w:r w:rsidRPr="00B550B1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过程。</w:t>
            </w:r>
          </w:p>
          <w:p w:rsidR="00B550B1" w:rsidRPr="0059207A" w:rsidRDefault="00B550B1" w:rsidP="00B550B1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需严格按照作业指导书生产，重点控制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温度、压力、时间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等。</w:t>
            </w:r>
          </w:p>
        </w:tc>
      </w:tr>
      <w:tr w:rsidR="00B550B1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550B1" w:rsidRPr="0059207A" w:rsidRDefault="00B550B1" w:rsidP="00B96669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B550B1" w:rsidRPr="0059207A" w:rsidRDefault="00B550B1" w:rsidP="00B96669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重大环境因素：</w:t>
            </w:r>
            <w:r w:rsidRPr="00B550B1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粉尘的排放、废气排放、噪声排放、火灾事故的发生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；</w:t>
            </w:r>
          </w:p>
          <w:p w:rsidR="00B550B1" w:rsidRPr="0059207A" w:rsidRDefault="00B550B1" w:rsidP="00B96669">
            <w:pPr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B550B1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550B1" w:rsidRPr="0059207A" w:rsidRDefault="00B550B1" w:rsidP="00B96669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B550B1" w:rsidRPr="0059207A" w:rsidRDefault="00B550B1" w:rsidP="00B96669"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重大危险源：</w:t>
            </w:r>
            <w:r w:rsidRPr="00B550B1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机械伤害、火灾爆炸、触电事故、矽肺职业病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；</w:t>
            </w:r>
          </w:p>
          <w:p w:rsidR="00B550B1" w:rsidRPr="0059207A" w:rsidRDefault="00B550B1" w:rsidP="00B96669"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控制措施：目标指标和管理方案、管理规定、运行控制、应急预案、检查控制、教育培训。</w:t>
            </w:r>
          </w:p>
        </w:tc>
      </w:tr>
      <w:tr w:rsidR="00B550B1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550B1" w:rsidRPr="0059207A" w:rsidRDefault="00B550B1" w:rsidP="00B96669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B550B1" w:rsidRPr="0059207A" w:rsidRDefault="00B550B1" w:rsidP="00B96669">
            <w:pPr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《中华人民共和国环境保护法》、《中华人民共和国节约能源法》、《中华人民共和国固体废物污染环境防治法》、《工业企业厂界环境噪声排放标准GB 12348-2008》、《中华人民共和国安全生产法》、《中华人民共和国消防法》；</w:t>
            </w:r>
            <w:r w:rsidRPr="00D4495B">
              <w:rPr>
                <w:rFonts w:ascii="楷体" w:eastAsia="楷体" w:hAnsi="楷体" w:hint="eastAsia"/>
                <w:szCs w:val="24"/>
              </w:rPr>
              <w:t>GB/T11968-2006蒸压加气混凝土砌块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。</w:t>
            </w:r>
          </w:p>
        </w:tc>
      </w:tr>
      <w:tr w:rsidR="00B550B1" w:rsidTr="00B550B1">
        <w:trPr>
          <w:cantSplit/>
          <w:trHeight w:val="99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550B1" w:rsidRPr="0059207A" w:rsidRDefault="00B550B1" w:rsidP="00B96669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检验和试验项目及要求</w:t>
            </w:r>
            <w:r w:rsidRPr="0059207A">
              <w:rPr>
                <w:b/>
                <w:sz w:val="21"/>
                <w:szCs w:val="21"/>
              </w:rPr>
              <w:t>(</w:t>
            </w:r>
            <w:r w:rsidRPr="0059207A">
              <w:rPr>
                <w:rFonts w:hint="eastAsia"/>
                <w:b/>
                <w:sz w:val="21"/>
                <w:szCs w:val="21"/>
              </w:rPr>
              <w:t>如有型式试验要求</w:t>
            </w:r>
            <w:r w:rsidRPr="0059207A">
              <w:rPr>
                <w:b/>
                <w:sz w:val="21"/>
                <w:szCs w:val="21"/>
              </w:rPr>
              <w:t>,</w:t>
            </w:r>
            <w:r w:rsidRPr="0059207A">
              <w:rPr>
                <w:rFonts w:hint="eastAsia"/>
                <w:b/>
                <w:sz w:val="21"/>
                <w:szCs w:val="21"/>
              </w:rPr>
              <w:t>要进行说明</w:t>
            </w:r>
            <w:r w:rsidRPr="0059207A">
              <w:rPr>
                <w:b/>
                <w:sz w:val="21"/>
                <w:szCs w:val="21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B550B1" w:rsidRPr="0059207A" w:rsidRDefault="00B550B1" w:rsidP="00B550B1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ascii="宋体" w:hAnsi="宋体" w:hint="eastAsia"/>
                <w:sz w:val="21"/>
                <w:szCs w:val="21"/>
              </w:rPr>
              <w:t>外观、规格尺寸、性能等，</w:t>
            </w:r>
            <w:r>
              <w:rPr>
                <w:rFonts w:ascii="宋体" w:hAnsi="宋体" w:hint="eastAsia"/>
                <w:sz w:val="21"/>
                <w:szCs w:val="21"/>
              </w:rPr>
              <w:t>有</w:t>
            </w:r>
            <w:r w:rsidRPr="0059207A">
              <w:rPr>
                <w:rFonts w:ascii="宋体" w:hAnsi="宋体" w:hint="eastAsia"/>
                <w:sz w:val="21"/>
                <w:szCs w:val="21"/>
              </w:rPr>
              <w:t>型式试验要求。</w:t>
            </w:r>
          </w:p>
        </w:tc>
      </w:tr>
      <w:tr w:rsidR="00B550B1" w:rsidTr="00B550B1">
        <w:trPr>
          <w:cantSplit/>
          <w:trHeight w:val="55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550B1" w:rsidRDefault="00B550B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B550B1" w:rsidRDefault="00B550B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05702B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r w:rsidR="00B550B1">
        <w:rPr>
          <w:rFonts w:ascii="宋体" w:hint="eastAsia"/>
          <w:b/>
          <w:sz w:val="18"/>
          <w:szCs w:val="18"/>
        </w:rPr>
        <w:t>姜海军</w:t>
      </w:r>
      <w:r>
        <w:rPr>
          <w:rFonts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550B1">
        <w:rPr>
          <w:rFonts w:ascii="宋体" w:hint="eastAsia"/>
          <w:b/>
          <w:sz w:val="22"/>
          <w:szCs w:val="22"/>
        </w:rPr>
        <w:t>2021.3.16</w:t>
      </w:r>
      <w:r>
        <w:rPr>
          <w:rFonts w:ascii="宋体"/>
          <w:b/>
          <w:sz w:val="22"/>
          <w:szCs w:val="22"/>
        </w:rPr>
        <w:t xml:space="preserve">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550B1">
        <w:rPr>
          <w:rFonts w:ascii="宋体" w:hint="eastAsia"/>
          <w:b/>
          <w:sz w:val="18"/>
          <w:szCs w:val="18"/>
        </w:rPr>
        <w:t xml:space="preserve">姜海军 </w:t>
      </w:r>
      <w:r>
        <w:rPr>
          <w:rFonts w:ascii="宋体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550B1">
        <w:rPr>
          <w:rFonts w:ascii="宋体" w:hint="eastAsia"/>
          <w:b/>
          <w:sz w:val="22"/>
          <w:szCs w:val="22"/>
        </w:rPr>
        <w:t>2021.3.16</w:t>
      </w:r>
    </w:p>
    <w:p w:rsidR="00AE4B04" w:rsidRDefault="0005702B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05702B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02B" w:rsidRDefault="0005702B">
      <w:r>
        <w:separator/>
      </w:r>
    </w:p>
  </w:endnote>
  <w:endnote w:type="continuationSeparator" w:id="0">
    <w:p w:rsidR="0005702B" w:rsidRDefault="0005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02B" w:rsidRDefault="0005702B">
      <w:r>
        <w:separator/>
      </w:r>
    </w:p>
  </w:footnote>
  <w:footnote w:type="continuationSeparator" w:id="0">
    <w:p w:rsidR="0005702B" w:rsidRDefault="00057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05702B" w:rsidP="00B550B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042 21120 14567 21120 15070 21120 20093 15360 21098 6240 17079 1920 14065 0 6028 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RDefault="0005702B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:rsidR="0092500F" w:rsidRPr="000B51BD" w:rsidRDefault="0005702B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 w:rsidRDefault="0005702B">
    <w:pPr>
      <w:pStyle w:val="a4"/>
    </w:pPr>
  </w:p>
  <w:p w:rsidR="00AE4B04" w:rsidRDefault="0005702B" w:rsidP="00B550B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769D2"/>
    <w:rsid w:val="0005702B"/>
    <w:rsid w:val="006769D2"/>
    <w:rsid w:val="00B5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132</Words>
  <Characters>754</Characters>
  <Application>Microsoft Office Word</Application>
  <DocSecurity>0</DocSecurity>
  <Lines>6</Lines>
  <Paragraphs>1</Paragraphs>
  <ScaleCrop>false</ScaleCrop>
  <Company>微软中国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15</cp:revision>
  <dcterms:created xsi:type="dcterms:W3CDTF">2015-06-17T11:40:00Z</dcterms:created>
  <dcterms:modified xsi:type="dcterms:W3CDTF">2021-03-25T08:05:00Z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