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4"/>
        <w:gridCol w:w="1089"/>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晋煤金石化工投资集团有限公司石家庄循环化工园区分公司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hint="default" w:ascii="Arial" w:hAnsi="Arial" w:eastAsia="宋体" w:cs="Arial"/>
                <w:b/>
                <w:sz w:val="30"/>
                <w:szCs w:val="30"/>
                <w:lang w:val="en-US" w:eastAsia="zh-CN"/>
              </w:rPr>
            </w:pPr>
            <w:bookmarkStart w:id="1" w:name="Q勾选"/>
            <w:r>
              <w:rPr>
                <w:rFonts w:hint="eastAsia"/>
                <w:b/>
                <w:szCs w:val="21"/>
              </w:rPr>
              <w:t>■</w:t>
            </w:r>
            <w:bookmarkEnd w:id="1"/>
            <w:r>
              <w:rPr>
                <w:b/>
                <w:spacing w:val="-2"/>
                <w:szCs w:val="21"/>
              </w:rPr>
              <w:t>QMS</w:t>
            </w:r>
            <w:r>
              <w:rPr>
                <w:rFonts w:hint="eastAsia"/>
                <w:b/>
                <w:spacing w:val="-2"/>
                <w:szCs w:val="21"/>
              </w:rPr>
              <w:t>　　</w:t>
            </w:r>
            <w:bookmarkStart w:id="2" w:name="E勾选"/>
            <w:r>
              <w:rPr>
                <w:rFonts w:hint="eastAsia"/>
                <w:b/>
                <w:szCs w:val="21"/>
              </w:rPr>
              <w:t>■</w:t>
            </w:r>
            <w:bookmarkEnd w:id="2"/>
            <w:r>
              <w:rPr>
                <w:b/>
                <w:spacing w:val="-2"/>
                <w:szCs w:val="21"/>
              </w:rPr>
              <w:t>EMS</w:t>
            </w:r>
            <w:r>
              <w:rPr>
                <w:rFonts w:hint="eastAsia"/>
                <w:b/>
                <w:spacing w:val="-2"/>
                <w:szCs w:val="21"/>
              </w:rPr>
              <w:t>　　　</w:t>
            </w:r>
            <w:bookmarkStart w:id="3" w:name="S勾选"/>
            <w:r>
              <w:rPr>
                <w:rFonts w:hint="eastAsia"/>
                <w:b/>
                <w:szCs w:val="21"/>
              </w:rPr>
              <w:t>■</w:t>
            </w:r>
            <w:bookmarkEnd w:id="3"/>
            <w:r>
              <w:rPr>
                <w:b/>
                <w:spacing w:val="-2"/>
                <w:szCs w:val="21"/>
              </w:rPr>
              <w:t>OHSMS</w:t>
            </w:r>
            <w:r>
              <w:rPr>
                <w:rFonts w:hint="eastAsia"/>
                <w:b/>
                <w:spacing w:val="-2"/>
                <w:szCs w:val="21"/>
                <w:lang w:val="en-US" w:eastAsia="zh-CN"/>
              </w:rPr>
              <w:t xml:space="preserve">    </w:t>
            </w:r>
            <w:r>
              <w:rPr>
                <w:rFonts w:hint="eastAsia"/>
                <w:b/>
                <w:szCs w:val="21"/>
              </w:rPr>
              <w:t>■</w:t>
            </w:r>
            <w:r>
              <w:rPr>
                <w:b/>
                <w:spacing w:val="-2"/>
                <w:szCs w:val="21"/>
              </w:rPr>
              <w:t>E</w:t>
            </w:r>
            <w:r>
              <w:rPr>
                <w:rFonts w:hint="eastAsia"/>
                <w:b/>
                <w:spacing w:val="-2"/>
                <w:szCs w:val="21"/>
                <w:lang w:val="en-US" w:eastAsia="zh-CN"/>
              </w:rPr>
              <w:t>n</w:t>
            </w:r>
            <w:r>
              <w:rPr>
                <w:b/>
                <w:spacing w:val="-2"/>
                <w:szCs w:val="21"/>
              </w:rPr>
              <w:t>MS</w:t>
            </w:r>
            <w:r>
              <w:rPr>
                <w:rFonts w:hint="eastAsia"/>
                <w:b/>
                <w:spacing w:val="-2"/>
                <w:szCs w:val="21"/>
              </w:rPr>
              <w:t>　</w:t>
            </w:r>
          </w:p>
          <w:p>
            <w:bookmarkStart w:id="4" w:name="审核类型ZB"/>
            <w:r>
              <w:rPr>
                <w:rFonts w:hint="eastAsia"/>
                <w:b/>
                <w:szCs w:val="21"/>
              </w:rPr>
              <w:t>质量管理体系：初次认证第（二）阶段</w:t>
            </w:r>
          </w:p>
          <w:p>
            <w:pPr>
              <w:rPr>
                <w:rFonts w:hint="eastAsia"/>
                <w:b/>
                <w:szCs w:val="21"/>
              </w:rPr>
            </w:pPr>
            <w:r>
              <w:rPr>
                <w:rFonts w:hint="eastAsia"/>
                <w:b/>
                <w:szCs w:val="21"/>
              </w:rPr>
              <w:t>环境管理体系：初次认证第（二）阶段</w:t>
            </w:r>
          </w:p>
          <w:p>
            <w:pPr>
              <w:rPr>
                <w:rFonts w:hint="eastAsia"/>
                <w:b/>
                <w:szCs w:val="21"/>
              </w:rPr>
            </w:pPr>
            <w:r>
              <w:rPr>
                <w:rFonts w:hint="eastAsia"/>
                <w:b/>
                <w:szCs w:val="21"/>
              </w:rPr>
              <w:t>职业健康安全管理体系：初次认证第（二）阶段</w:t>
            </w:r>
          </w:p>
          <w:p>
            <w:pPr>
              <w:rPr>
                <w:rFonts w:hint="eastAsia"/>
                <w:b/>
                <w:szCs w:val="21"/>
              </w:rPr>
            </w:pPr>
            <w:r>
              <w:rPr>
                <w:rFonts w:hint="eastAsia"/>
                <w:b/>
                <w:szCs w:val="21"/>
              </w:rPr>
              <w:t>能源管理体系：初次认证第（二）阶段</w:t>
            </w:r>
            <w:bookmarkEnd w:id="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136"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7" w:hRule="exact"/>
          <w:jc w:val="center"/>
        </w:trPr>
        <w:tc>
          <w:tcPr>
            <w:tcW w:w="754"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7136"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right="147"/>
              <w:jc w:val="left"/>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法律法规未及时更新。如：《工作场所有害因素职业接触限值 第1部分：化学有害因素》GBZ2. 1-2007，应更新为2019版；</w:t>
            </w:r>
          </w:p>
          <w:p>
            <w:pPr>
              <w:jc w:val="center"/>
              <w:rPr>
                <w:rFonts w:ascii="方正仿宋简体" w:eastAsia="方正仿宋简体"/>
                <w:b/>
              </w:rPr>
            </w:pPr>
          </w:p>
        </w:tc>
        <w:tc>
          <w:tcPr>
            <w:tcW w:w="2033" w:type="dxa"/>
            <w:tcBorders>
              <w:left w:val="single" w:color="auto" w:sz="4" w:space="0"/>
            </w:tcBorders>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安全监察处</w:t>
            </w:r>
            <w:r>
              <w:rPr>
                <w:rFonts w:hint="eastAsia" w:cs="Times New Roman"/>
                <w:lang w:val="en-US" w:eastAsia="zh-CN"/>
              </w:rPr>
              <w:t>(O)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7136" w:type="dxa"/>
            <w:gridSpan w:val="2"/>
            <w:tcBorders>
              <w:left w:val="single" w:color="auto" w:sz="4" w:space="0"/>
              <w:right w:val="single" w:color="auto" w:sz="4" w:space="0"/>
            </w:tcBorders>
            <w:vAlign w:val="center"/>
          </w:tcPr>
          <w:p>
            <w:r>
              <w:rPr>
                <w:rFonts w:hint="eastAsia" w:ascii="Times New Roman" w:hAnsi="Times New Roman" w:eastAsia="宋体" w:cs="Times New Roman"/>
                <w:szCs w:val="22"/>
                <w:lang w:val="en-US" w:eastAsia="zh-CN"/>
              </w:rPr>
              <w:t>未提供重大危险源申报备案登记情况</w:t>
            </w:r>
          </w:p>
        </w:tc>
        <w:tc>
          <w:tcPr>
            <w:tcW w:w="2033" w:type="dxa"/>
            <w:tcBorders>
              <w:left w:val="single" w:color="auto" w:sz="4" w:space="0"/>
            </w:tcBorders>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安全监察处</w:t>
            </w:r>
            <w:r>
              <w:rPr>
                <w:rFonts w:hint="eastAsia" w:cs="Times New Roman"/>
                <w:lang w:val="en-US" w:eastAsia="zh-CN"/>
              </w:rPr>
              <w:t>(O)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应急预案评估记录中“应急预案细节上不完善，现场处置上配合不默契；改进措施：完善细化应急预案，细节上充分考虑到位，多组织现场事故预案演练，提高员工的实际处理能力”；应急预案需完善对事故影响的善后处置内容。未提供改进措施的落实情况。</w:t>
            </w:r>
          </w:p>
          <w:p>
            <w:pPr>
              <w:rPr>
                <w:rFonts w:hint="eastAsia" w:ascii="Times New Roman" w:hAnsi="Times New Roman" w:eastAsia="宋体" w:cs="Times New Roman"/>
                <w:szCs w:val="22"/>
                <w:lang w:val="en-US" w:eastAsia="zh-CN"/>
              </w:rPr>
            </w:pPr>
          </w:p>
        </w:tc>
        <w:tc>
          <w:tcPr>
            <w:tcW w:w="2033" w:type="dxa"/>
            <w:tcBorders>
              <w:left w:val="single" w:color="auto" w:sz="4" w:space="0"/>
            </w:tcBorders>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安全监察处</w:t>
            </w:r>
            <w:r>
              <w:rPr>
                <w:rFonts w:hint="eastAsia" w:cs="Times New Roman"/>
                <w:lang w:val="en-US" w:eastAsia="zh-CN"/>
              </w:rPr>
              <w:t>(O)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7"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4</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环境因素识别不具体，未识别废渣的排放，且锅炉废气排放应确定为重要环境因素进行管理。</w:t>
            </w:r>
          </w:p>
        </w:tc>
        <w:tc>
          <w:tcPr>
            <w:tcW w:w="2033" w:type="dxa"/>
            <w:tcBorders>
              <w:left w:val="single" w:color="auto" w:sz="4" w:space="0"/>
            </w:tcBorders>
            <w:vAlign w:val="center"/>
          </w:tcPr>
          <w:p>
            <w:pPr>
              <w:jc w:val="center"/>
              <w:rPr>
                <w:rFonts w:hint="default" w:eastAsia="宋体"/>
                <w:lang w:val="en-US" w:eastAsia="zh-CN"/>
              </w:rPr>
            </w:pPr>
            <w:r>
              <w:rPr>
                <w:rFonts w:hint="eastAsia"/>
                <w:lang w:val="en-US" w:eastAsia="zh-CN"/>
              </w:rPr>
              <w:t>供汽车间(E)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5</w:t>
            </w:r>
          </w:p>
        </w:tc>
        <w:tc>
          <w:tcPr>
            <w:tcW w:w="7136" w:type="dxa"/>
            <w:gridSpan w:val="2"/>
            <w:tcBorders>
              <w:left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受限空间作业票，</w:t>
            </w:r>
            <w:r>
              <w:rPr>
                <w:rFonts w:hint="eastAsia"/>
                <w:highlight w:val="none"/>
                <w:lang w:val="en-US" w:eastAsia="zh-CN"/>
              </w:rPr>
              <w:t>验收不符合要求、未提供工器具和人员进出受限空间的控制情况</w:t>
            </w:r>
          </w:p>
          <w:p/>
        </w:tc>
        <w:tc>
          <w:tcPr>
            <w:tcW w:w="2033" w:type="dxa"/>
            <w:tcBorders>
              <w:left w:val="single" w:color="auto" w:sz="4" w:space="0"/>
            </w:tcBorders>
            <w:vAlign w:val="center"/>
          </w:tcPr>
          <w:p>
            <w:pPr>
              <w:jc w:val="center"/>
              <w:rPr>
                <w:rFonts w:hint="default"/>
                <w:lang w:val="en-US"/>
              </w:rPr>
            </w:pPr>
            <w:r>
              <w:rPr>
                <w:rFonts w:hint="eastAsia"/>
                <w:lang w:val="en-US" w:eastAsia="zh-CN"/>
              </w:rPr>
              <w:t>供汽车间(O)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6</w:t>
            </w:r>
          </w:p>
        </w:tc>
        <w:tc>
          <w:tcPr>
            <w:tcW w:w="7136" w:type="dxa"/>
            <w:gridSpan w:val="2"/>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现场巡视</w:t>
            </w:r>
            <w:r>
              <w:rPr>
                <w:rFonts w:hint="eastAsia" w:ascii="Times New Roman" w:hAnsi="Times New Roman" w:eastAsia="宋体" w:cs="Times New Roman"/>
                <w:highlight w:val="none"/>
                <w:lang w:val="en-US" w:eastAsia="zh-CN"/>
              </w:rPr>
              <w:t>液氨泵房液氨管线部分未保温，保温不完好。</w:t>
            </w:r>
          </w:p>
        </w:tc>
        <w:tc>
          <w:tcPr>
            <w:tcW w:w="2033" w:type="dxa"/>
            <w:tcBorders>
              <w:left w:val="single" w:color="auto" w:sz="4" w:space="0"/>
            </w:tcBorders>
            <w:vAlign w:val="center"/>
          </w:tcPr>
          <w:p>
            <w:pPr>
              <w:jc w:val="center"/>
              <w:rPr>
                <w:rFonts w:hint="default"/>
                <w:lang w:val="en-US"/>
              </w:rPr>
            </w:pPr>
            <w:r>
              <w:rPr>
                <w:rFonts w:hint="eastAsia"/>
                <w:lang w:val="en-US" w:eastAsia="zh-CN"/>
              </w:rPr>
              <w:t>供汽车间(EnO)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7136" w:type="dxa"/>
            <w:gridSpan w:val="2"/>
            <w:tcBorders>
              <w:left w:val="single" w:color="auto" w:sz="4" w:space="0"/>
              <w:right w:val="single" w:color="auto" w:sz="4" w:space="0"/>
            </w:tcBorders>
            <w:vAlign w:val="center"/>
          </w:tcPr>
          <w:p>
            <w:r>
              <w:rPr>
                <w:rFonts w:hint="eastAsia" w:ascii="Times New Roman" w:hAnsi="Times New Roman" w:eastAsia="宋体" w:cs="Times New Roman"/>
                <w:highlight w:val="none"/>
                <w:lang w:val="en-US" w:eastAsia="zh-CN"/>
              </w:rPr>
              <w:t>现场固体废物管理不规范，乱放无标识；</w:t>
            </w:r>
          </w:p>
        </w:tc>
        <w:tc>
          <w:tcPr>
            <w:tcW w:w="2033" w:type="dxa"/>
            <w:tcBorders>
              <w:left w:val="single" w:color="auto" w:sz="4" w:space="0"/>
            </w:tcBorders>
            <w:vAlign w:val="center"/>
          </w:tcPr>
          <w:p>
            <w:pPr>
              <w:jc w:val="center"/>
              <w:rPr>
                <w:rFonts w:hint="default" w:eastAsia="宋体"/>
                <w:lang w:val="en-US" w:eastAsia="zh-CN"/>
              </w:rPr>
            </w:pPr>
            <w:r>
              <w:rPr>
                <w:rFonts w:hint="eastAsia"/>
                <w:lang w:val="en-US" w:eastAsia="zh-CN"/>
              </w:rPr>
              <w:t>供汽车间(OE)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8</w:t>
            </w:r>
          </w:p>
        </w:tc>
        <w:tc>
          <w:tcPr>
            <w:tcW w:w="7136"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color w:val="000000"/>
                <w:lang w:val="en-US" w:eastAsia="zh-CN"/>
              </w:rPr>
            </w:pPr>
            <w:r>
              <w:rPr>
                <w:rFonts w:hint="eastAsia"/>
                <w:color w:val="000000"/>
                <w:lang w:val="en-US" w:eastAsia="zh-CN"/>
              </w:rPr>
              <w:t>供汽车间未提供相关的能源基准和能源绩效参数。</w:t>
            </w:r>
          </w:p>
          <w:p>
            <w:pPr>
              <w:rPr>
                <w:rFonts w:hint="eastAsia" w:ascii="Times New Roman" w:hAnsi="Times New Roman" w:eastAsia="宋体" w:cs="Times New Roman"/>
                <w:highlight w:val="none"/>
                <w:lang w:val="en-US" w:eastAsia="zh-CN"/>
              </w:rPr>
            </w:pPr>
          </w:p>
        </w:tc>
        <w:tc>
          <w:tcPr>
            <w:tcW w:w="2033" w:type="dxa"/>
            <w:tcBorders>
              <w:left w:val="single" w:color="auto" w:sz="4" w:space="0"/>
            </w:tcBorders>
            <w:vAlign w:val="center"/>
          </w:tcPr>
          <w:p>
            <w:pPr>
              <w:jc w:val="center"/>
              <w:rPr>
                <w:rFonts w:hint="default"/>
                <w:lang w:val="en-US" w:eastAsia="zh-CN"/>
              </w:rPr>
            </w:pPr>
            <w:r>
              <w:rPr>
                <w:rFonts w:hint="eastAsia"/>
                <w:lang w:val="en-US" w:eastAsia="zh-CN"/>
              </w:rPr>
              <w:t>供汽车间(En）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exact"/>
          <w:jc w:val="center"/>
        </w:trPr>
        <w:tc>
          <w:tcPr>
            <w:tcW w:w="754" w:type="dxa"/>
            <w:tcBorders>
              <w:right w:val="single" w:color="auto" w:sz="4" w:space="0"/>
            </w:tcBorders>
            <w:vAlign w:val="center"/>
          </w:tcPr>
          <w:p>
            <w:pPr>
              <w:jc w:val="center"/>
              <w:rPr>
                <w:rFonts w:hint="eastAsia" w:eastAsia="宋体"/>
                <w:lang w:val="en-US" w:eastAsia="zh-CN"/>
              </w:rPr>
            </w:pPr>
            <w:r>
              <w:rPr>
                <w:rFonts w:hint="eastAsia"/>
                <w:lang w:val="en-US" w:eastAsia="zh-CN"/>
              </w:rPr>
              <w:t>9</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公司年度环境目标缺少对生产污水控制的内容。</w:t>
            </w:r>
          </w:p>
          <w:p>
            <w:pPr>
              <w:rPr>
                <w:rFonts w:hint="eastAsia" w:ascii="Times New Roman" w:hAnsi="Times New Roman" w:eastAsia="宋体" w:cs="Times New Roman"/>
                <w:highlight w:val="none"/>
                <w:lang w:val="en-US" w:eastAsia="zh-CN"/>
              </w:rPr>
            </w:pPr>
          </w:p>
          <w:p>
            <w:pPr>
              <w:rPr>
                <w:rFonts w:hint="eastAsia" w:ascii="Times New Roman" w:hAnsi="Times New Roman" w:eastAsia="宋体" w:cs="Times New Roman"/>
                <w:highlight w:val="none"/>
                <w:lang w:val="en-US" w:eastAsia="zh-CN"/>
              </w:rPr>
            </w:pPr>
          </w:p>
        </w:tc>
        <w:tc>
          <w:tcPr>
            <w:tcW w:w="2033" w:type="dxa"/>
            <w:tcBorders>
              <w:left w:val="single" w:color="auto" w:sz="4" w:space="0"/>
            </w:tcBorders>
            <w:vAlign w:val="center"/>
          </w:tcPr>
          <w:p>
            <w:pPr>
              <w:jc w:val="center"/>
              <w:rPr>
                <w:rFonts w:hint="eastAsia" w:eastAsia="宋体"/>
                <w:lang w:val="en-US" w:eastAsia="zh-CN"/>
              </w:rPr>
            </w:pPr>
            <w:r>
              <w:rPr>
                <w:rFonts w:hint="eastAsia"/>
                <w:lang w:val="en-US" w:eastAsia="zh-CN"/>
              </w:rPr>
              <w:t>环境保护处（E）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10</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环境合规性评价台账中对废水排放未直接对应公司执行的标准《合成氨工业水污染物排放标准》（GB13458-2013）表2进行对标评价。</w:t>
            </w:r>
          </w:p>
          <w:p>
            <w:pPr>
              <w:rPr>
                <w:rFonts w:hint="eastAsia" w:ascii="Times New Roman" w:hAnsi="Times New Roman" w:eastAsia="宋体" w:cs="Times New Roman"/>
                <w:highlight w:val="none"/>
                <w:lang w:val="en-US" w:eastAsia="zh-CN"/>
              </w:rPr>
            </w:pPr>
          </w:p>
        </w:tc>
        <w:tc>
          <w:tcPr>
            <w:tcW w:w="2033" w:type="dxa"/>
            <w:tcBorders>
              <w:left w:val="single" w:color="auto" w:sz="4" w:space="0"/>
            </w:tcBorders>
            <w:vAlign w:val="center"/>
          </w:tcPr>
          <w:p>
            <w:pPr>
              <w:jc w:val="center"/>
              <w:rPr>
                <w:rFonts w:hint="eastAsia" w:eastAsia="宋体"/>
                <w:lang w:val="en-US" w:eastAsia="zh-CN"/>
              </w:rPr>
            </w:pPr>
            <w:r>
              <w:rPr>
                <w:rFonts w:hint="eastAsia"/>
                <w:lang w:val="en-US" w:eastAsia="zh-CN"/>
              </w:rPr>
              <w:t>环境保护处（E）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11</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作为公司环境管理主管部门，未能提供策划全公司环境因素的识别和评价的任何证据。</w:t>
            </w:r>
          </w:p>
          <w:p>
            <w:pPr>
              <w:rPr>
                <w:rFonts w:hint="eastAsia" w:ascii="Times New Roman" w:hAnsi="Times New Roman" w:eastAsia="宋体" w:cs="Times New Roman"/>
                <w:highlight w:val="none"/>
                <w:lang w:val="en-US" w:eastAsia="zh-CN"/>
              </w:rPr>
            </w:pPr>
          </w:p>
          <w:p>
            <w:pPr>
              <w:rPr>
                <w:rFonts w:hint="eastAsia" w:ascii="Times New Roman" w:hAnsi="Times New Roman" w:eastAsia="宋体" w:cs="Times New Roman"/>
                <w:highlight w:val="none"/>
                <w:lang w:val="en-US" w:eastAsia="zh-CN"/>
              </w:rPr>
            </w:pPr>
          </w:p>
        </w:tc>
        <w:tc>
          <w:tcPr>
            <w:tcW w:w="2033" w:type="dxa"/>
            <w:tcBorders>
              <w:left w:val="single" w:color="auto" w:sz="4" w:space="0"/>
            </w:tcBorders>
            <w:vAlign w:val="center"/>
          </w:tcPr>
          <w:p>
            <w:pPr>
              <w:jc w:val="center"/>
              <w:rPr>
                <w:rFonts w:hint="default" w:eastAsia="宋体"/>
                <w:lang w:val="en-US" w:eastAsia="zh-CN"/>
              </w:rPr>
            </w:pPr>
            <w:r>
              <w:rPr>
                <w:rFonts w:hint="eastAsia"/>
                <w:lang w:val="en-US" w:eastAsia="zh-CN"/>
              </w:rPr>
              <w:t>环境保护处(E)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12</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环境保护处作为公司环境管理主管部门，未能提供公司“重要环境因素清单”及对重要环境因素应制订的控制措施</w:t>
            </w:r>
          </w:p>
          <w:p>
            <w:pPr>
              <w:rPr>
                <w:rFonts w:hint="eastAsia" w:ascii="Times New Roman" w:hAnsi="Times New Roman" w:eastAsia="宋体" w:cs="Times New Roman"/>
                <w:color w:val="000000"/>
                <w:kern w:val="2"/>
                <w:sz w:val="24"/>
                <w:szCs w:val="24"/>
                <w:lang w:val="en-US" w:eastAsia="zh-CN" w:bidi="ar-SA"/>
              </w:rPr>
            </w:pPr>
          </w:p>
        </w:tc>
        <w:tc>
          <w:tcPr>
            <w:tcW w:w="2033" w:type="dxa"/>
            <w:tcBorders>
              <w:left w:val="single" w:color="auto" w:sz="4" w:space="0"/>
            </w:tcBorders>
            <w:vAlign w:val="center"/>
          </w:tcPr>
          <w:p>
            <w:pPr>
              <w:jc w:val="center"/>
              <w:rPr>
                <w:rFonts w:hint="default"/>
                <w:lang w:val="en-US" w:eastAsia="zh-CN"/>
              </w:rPr>
            </w:pPr>
            <w:r>
              <w:rPr>
                <w:rFonts w:hint="eastAsia"/>
                <w:lang w:val="en-US" w:eastAsia="zh-CN"/>
              </w:rPr>
              <w:t>环境保护处(E)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13</w:t>
            </w:r>
          </w:p>
        </w:tc>
        <w:tc>
          <w:tcPr>
            <w:tcW w:w="7136" w:type="dxa"/>
            <w:gridSpan w:val="2"/>
            <w:tcBorders>
              <w:left w:val="single" w:color="auto" w:sz="4" w:space="0"/>
              <w:right w:val="single" w:color="auto" w:sz="4" w:space="0"/>
            </w:tcBorders>
            <w:vAlign w:val="center"/>
          </w:tcPr>
          <w:p>
            <w:pPr>
              <w:pStyle w:val="3"/>
              <w:pBdr>
                <w:bottom w:val="none" w:color="auto" w:sz="0" w:space="0"/>
              </w:pBdr>
              <w:tabs>
                <w:tab w:val="center" w:pos="5737"/>
                <w:tab w:val="clear" w:pos="4153"/>
              </w:tabs>
              <w:jc w:val="both"/>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在环境保护处查公司重大危险源液氨泄</w:t>
            </w:r>
            <w:r>
              <w:rPr>
                <w:rFonts w:hint="eastAsia" w:cs="Times New Roman"/>
                <w:kern w:val="2"/>
                <w:sz w:val="21"/>
                <w:szCs w:val="24"/>
                <w:highlight w:val="none"/>
                <w:lang w:val="en-US" w:eastAsia="zh-CN" w:bidi="ar-SA"/>
              </w:rPr>
              <w:t>漏</w:t>
            </w:r>
            <w:r>
              <w:rPr>
                <w:rFonts w:hint="eastAsia" w:ascii="Times New Roman" w:hAnsi="Times New Roman" w:eastAsia="宋体" w:cs="Times New Roman"/>
                <w:kern w:val="2"/>
                <w:sz w:val="21"/>
                <w:szCs w:val="24"/>
                <w:highlight w:val="none"/>
                <w:lang w:val="en-US" w:eastAsia="zh-CN" w:bidi="ar-SA"/>
              </w:rPr>
              <w:t>事故应急演练脚本内容，序号18  球罐泄</w:t>
            </w:r>
            <w:r>
              <w:rPr>
                <w:rFonts w:hint="eastAsia" w:cs="Times New Roman"/>
                <w:kern w:val="2"/>
                <w:sz w:val="21"/>
                <w:szCs w:val="24"/>
                <w:highlight w:val="none"/>
                <w:lang w:val="en-US" w:eastAsia="zh-CN" w:bidi="ar-SA"/>
              </w:rPr>
              <w:t>漏</w:t>
            </w:r>
            <w:r>
              <w:rPr>
                <w:rFonts w:hint="eastAsia" w:ascii="Times New Roman" w:hAnsi="Times New Roman" w:eastAsia="宋体" w:cs="Times New Roman"/>
                <w:kern w:val="2"/>
                <w:sz w:val="21"/>
                <w:szCs w:val="24"/>
                <w:highlight w:val="none"/>
                <w:lang w:val="en-US" w:eastAsia="zh-CN" w:bidi="ar-SA"/>
              </w:rPr>
              <w:t>停止装车疏散车辆，撤离周围人员，未考虑当时风向和风速</w:t>
            </w:r>
          </w:p>
        </w:tc>
        <w:tc>
          <w:tcPr>
            <w:tcW w:w="2033" w:type="dxa"/>
            <w:tcBorders>
              <w:left w:val="single" w:color="auto" w:sz="4" w:space="0"/>
            </w:tcBorders>
            <w:vAlign w:val="center"/>
          </w:tcPr>
          <w:p>
            <w:pPr>
              <w:jc w:val="center"/>
              <w:rPr>
                <w:rFonts w:hint="default"/>
                <w:lang w:val="en-US" w:eastAsia="zh-CN"/>
              </w:rPr>
            </w:pPr>
            <w:r>
              <w:rPr>
                <w:rFonts w:hint="eastAsia"/>
                <w:lang w:val="en-US" w:eastAsia="zh-CN"/>
              </w:rPr>
              <w:t>环境保护处（E）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14</w:t>
            </w:r>
          </w:p>
        </w:tc>
        <w:tc>
          <w:tcPr>
            <w:tcW w:w="7136" w:type="dxa"/>
            <w:gridSpan w:val="2"/>
            <w:tcBorders>
              <w:left w:val="single" w:color="auto" w:sz="4" w:space="0"/>
              <w:right w:val="single" w:color="auto" w:sz="4" w:space="0"/>
            </w:tcBorders>
            <w:vAlign w:val="center"/>
          </w:tcPr>
          <w:p>
            <w:pPr>
              <w:pStyle w:val="3"/>
              <w:pBdr>
                <w:bottom w:val="none" w:color="auto" w:sz="0" w:space="0"/>
              </w:pBdr>
              <w:tabs>
                <w:tab w:val="center" w:pos="5737"/>
                <w:tab w:val="clear" w:pos="4153"/>
              </w:tabs>
              <w:jc w:val="both"/>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kern w:val="2"/>
                <w:sz w:val="21"/>
                <w:szCs w:val="24"/>
                <w:highlight w:val="none"/>
                <w:lang w:val="en-US" w:eastAsia="zh-CN" w:bidi="ar-SA"/>
              </w:rPr>
              <w:t>在质量检查处查原材料石灰石粉2021-03-04《原材料检验结果报告单》中，只有检验数据，未对检验结论做出判定。</w:t>
            </w:r>
          </w:p>
        </w:tc>
        <w:tc>
          <w:tcPr>
            <w:tcW w:w="2033" w:type="dxa"/>
            <w:tcBorders>
              <w:left w:val="single" w:color="auto" w:sz="4" w:space="0"/>
            </w:tcBorders>
            <w:vAlign w:val="center"/>
          </w:tcPr>
          <w:p>
            <w:pPr>
              <w:jc w:val="center"/>
              <w:rPr>
                <w:rFonts w:hint="default"/>
                <w:lang w:val="en-US" w:eastAsia="zh-CN"/>
              </w:rPr>
            </w:pPr>
            <w:r>
              <w:rPr>
                <w:rFonts w:hint="eastAsia"/>
                <w:lang w:val="en-US" w:eastAsia="zh-CN"/>
              </w:rPr>
              <w:t>质量管理处(Q）</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15</w:t>
            </w:r>
          </w:p>
        </w:tc>
        <w:tc>
          <w:tcPr>
            <w:tcW w:w="7136" w:type="dxa"/>
            <w:gridSpan w:val="2"/>
            <w:tcBorders>
              <w:left w:val="single" w:color="auto" w:sz="4" w:space="0"/>
              <w:right w:val="single" w:color="auto" w:sz="4" w:space="0"/>
            </w:tcBorders>
            <w:vAlign w:val="center"/>
          </w:tcPr>
          <w:p>
            <w:pPr>
              <w:pStyle w:val="3"/>
              <w:pBdr>
                <w:bottom w:val="none" w:color="auto" w:sz="0" w:space="0"/>
              </w:pBdr>
              <w:tabs>
                <w:tab w:val="center" w:pos="5737"/>
                <w:tab w:val="clear" w:pos="4153"/>
              </w:tabs>
              <w:jc w:val="both"/>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kern w:val="2"/>
                <w:sz w:val="21"/>
                <w:szCs w:val="24"/>
                <w:highlight w:val="none"/>
                <w:lang w:val="en-US" w:eastAsia="zh-CN" w:bidi="ar-SA"/>
              </w:rPr>
              <w:t>质量检查处提供的“化验室三废处置方案”内容，缺少对分析残液和废弃分析试剂瓶的处置方案。</w:t>
            </w:r>
          </w:p>
        </w:tc>
        <w:tc>
          <w:tcPr>
            <w:tcW w:w="2033" w:type="dxa"/>
            <w:tcBorders>
              <w:left w:val="single" w:color="auto" w:sz="4" w:space="0"/>
            </w:tcBorders>
            <w:vAlign w:val="center"/>
          </w:tcPr>
          <w:p>
            <w:pPr>
              <w:jc w:val="center"/>
              <w:rPr>
                <w:rFonts w:hint="default"/>
                <w:lang w:val="en-US" w:eastAsia="zh-CN"/>
              </w:rPr>
            </w:pPr>
            <w:r>
              <w:rPr>
                <w:rFonts w:hint="eastAsia"/>
                <w:lang w:val="en-US" w:eastAsia="zh-CN"/>
              </w:rPr>
              <w:t>质量管理处(Q)</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16</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未建立2021年能源基准及能源目标。</w:t>
            </w:r>
          </w:p>
        </w:tc>
        <w:tc>
          <w:tcPr>
            <w:tcW w:w="2033" w:type="dxa"/>
            <w:tcBorders>
              <w:left w:val="single" w:color="auto" w:sz="4" w:space="0"/>
            </w:tcBorders>
            <w:vAlign w:val="center"/>
          </w:tcPr>
          <w:p>
            <w:pPr>
              <w:jc w:val="center"/>
              <w:rPr>
                <w:rFonts w:hint="default" w:eastAsia="宋体"/>
                <w:lang w:val="en-US" w:eastAsia="zh-CN"/>
              </w:rPr>
            </w:pPr>
            <w:r>
              <w:rPr>
                <w:rFonts w:hint="eastAsia"/>
                <w:lang w:val="en-US" w:eastAsia="zh-CN"/>
              </w:rPr>
              <w:t>合成车间(En）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17</w:t>
            </w:r>
          </w:p>
        </w:tc>
        <w:tc>
          <w:tcPr>
            <w:tcW w:w="7136" w:type="dxa"/>
            <w:gridSpan w:val="2"/>
            <w:tcBorders>
              <w:left w:val="single" w:color="auto" w:sz="4" w:space="0"/>
              <w:right w:val="single" w:color="auto" w:sz="4" w:space="0"/>
            </w:tcBorders>
            <w:vAlign w:val="center"/>
          </w:tcPr>
          <w:p>
            <w:pPr>
              <w:pStyle w:val="3"/>
              <w:pBdr>
                <w:bottom w:val="none" w:color="auto" w:sz="0" w:space="0"/>
              </w:pBdr>
              <w:tabs>
                <w:tab w:val="center" w:pos="5737"/>
                <w:tab w:val="clear" w:pos="4153"/>
              </w:tabs>
              <w:jc w:val="both"/>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未能提供主要耗能设备的检测计划</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生产技术处（En）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18</w:t>
            </w:r>
          </w:p>
        </w:tc>
        <w:tc>
          <w:tcPr>
            <w:tcW w:w="7136" w:type="dxa"/>
            <w:gridSpan w:val="2"/>
            <w:tcBorders>
              <w:left w:val="single" w:color="auto" w:sz="4" w:space="0"/>
              <w:right w:val="single" w:color="auto" w:sz="4" w:space="0"/>
            </w:tcBorders>
            <w:vAlign w:val="center"/>
          </w:tcPr>
          <w:p>
            <w:pPr>
              <w:pStyle w:val="3"/>
              <w:pBdr>
                <w:bottom w:val="none" w:color="auto" w:sz="0" w:space="0"/>
              </w:pBdr>
              <w:tabs>
                <w:tab w:val="center" w:pos="5737"/>
                <w:tab w:val="clear" w:pos="4153"/>
              </w:tabs>
              <w:jc w:val="both"/>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未能提供2021年度的能源目标指标及能源基准</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生产技术处（En）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19</w:t>
            </w:r>
          </w:p>
        </w:tc>
        <w:tc>
          <w:tcPr>
            <w:tcW w:w="7136" w:type="dxa"/>
            <w:gridSpan w:val="2"/>
            <w:tcBorders>
              <w:left w:val="single" w:color="auto" w:sz="4" w:space="0"/>
              <w:right w:val="single" w:color="auto" w:sz="4" w:space="0"/>
            </w:tcBorders>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环境因素评价表确定的重要环境因素不适宜，比如：包装物废弃确定为重要环境因素，企业现状无此废弃物，建议结合企业实际情况进行识别和控制</w:t>
            </w:r>
          </w:p>
        </w:tc>
        <w:tc>
          <w:tcPr>
            <w:tcW w:w="2033" w:type="dxa"/>
            <w:tcBorders>
              <w:left w:val="single" w:color="auto" w:sz="4" w:space="0"/>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劳务管理处（E）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20</w:t>
            </w:r>
          </w:p>
        </w:tc>
        <w:tc>
          <w:tcPr>
            <w:tcW w:w="7136"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提供的火灾事故预案演练未提供对预案适宜性的评价。</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劳务管理处（EO）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0"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21</w:t>
            </w:r>
          </w:p>
        </w:tc>
        <w:tc>
          <w:tcPr>
            <w:tcW w:w="7136"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机械动力处：《叉车定期（首次）检验报告》编号冀特NCDJ112002000239、设备代码51101301922014120001、有效期至2021.1.（过期）；——已经送检报告未到；</w:t>
            </w:r>
            <w:r>
              <w:rPr>
                <w:rFonts w:hint="default" w:ascii="Times New Roman" w:hAnsi="Times New Roman" w:cs="Times New Roman"/>
                <w:lang w:val="en-US" w:eastAsia="zh-CN"/>
              </w:rPr>
              <w:t>2</w:t>
            </w:r>
            <w:r>
              <w:rPr>
                <w:rFonts w:hint="eastAsia" w:ascii="Times New Roman" w:hAnsi="Times New Roman" w:cs="Times New Roman"/>
                <w:lang w:val="en-US" w:eastAsia="zh-CN"/>
              </w:rPr>
              <w:t>、</w:t>
            </w:r>
            <w:r>
              <w:rPr>
                <w:rFonts w:hint="default" w:ascii="Times New Roman" w:hAnsi="Times New Roman" w:cs="Times New Roman"/>
                <w:lang w:val="en-US" w:eastAsia="zh-CN"/>
              </w:rPr>
              <w:t>3号锅炉报告未取回</w:t>
            </w:r>
            <w:r>
              <w:rPr>
                <w:rFonts w:hint="eastAsia" w:ascii="Times New Roman" w:hAnsi="Times New Roman" w:cs="Times New Roman"/>
                <w:lang w:val="en-US" w:eastAsia="zh-CN"/>
              </w:rPr>
              <w:t>；</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机械动力处（EEn）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22</w:t>
            </w:r>
          </w:p>
        </w:tc>
        <w:tc>
          <w:tcPr>
            <w:tcW w:w="7136" w:type="dxa"/>
            <w:gridSpan w:val="2"/>
            <w:tcBorders>
              <w:left w:val="single" w:color="auto" w:sz="4" w:space="0"/>
              <w:right w:val="single" w:color="auto" w:sz="4" w:space="0"/>
            </w:tcBorders>
            <w:vAlign w:val="center"/>
          </w:tcPr>
          <w:p>
            <w:pPr>
              <w:jc w:val="left"/>
              <w:rPr>
                <w:rFonts w:hint="eastAsia" w:ascii="方正仿宋简体" w:hAnsi="Times New Roman" w:eastAsia="方正仿宋简体" w:cs="Times New Roman"/>
                <w:bCs/>
                <w:kern w:val="2"/>
                <w:sz w:val="21"/>
                <w:szCs w:val="24"/>
                <w:lang w:val="en-US" w:eastAsia="zh-CN" w:bidi="ar-SA"/>
              </w:rPr>
            </w:pPr>
            <w:r>
              <w:rPr>
                <w:rFonts w:hint="eastAsia" w:ascii="方正仿宋简体" w:eastAsia="方正仿宋简体"/>
                <w:bCs/>
              </w:rPr>
              <w:t>生产技术部门未能提供环境因素识别、危险源辨识的清单，部门人员说有安全处统一管理，建议由各部门自行进行识别何评价。</w:t>
            </w:r>
          </w:p>
        </w:tc>
        <w:tc>
          <w:tcPr>
            <w:tcW w:w="2033" w:type="dxa"/>
            <w:tcBorders>
              <w:left w:val="single" w:color="auto" w:sz="4" w:space="0"/>
            </w:tcBorders>
            <w:vAlign w:val="center"/>
          </w:tcPr>
          <w:p>
            <w:pPr>
              <w:jc w:val="center"/>
              <w:rPr>
                <w:rFonts w:hint="eastAsia" w:ascii="方正仿宋简体" w:hAnsi="Times New Roman" w:eastAsia="方正仿宋简体" w:cs="Times New Roman"/>
                <w:bCs/>
                <w:kern w:val="2"/>
                <w:sz w:val="21"/>
                <w:szCs w:val="24"/>
                <w:lang w:val="en-US" w:eastAsia="zh-CN" w:bidi="ar-SA"/>
              </w:rPr>
            </w:pPr>
            <w:r>
              <w:rPr>
                <w:rFonts w:hint="eastAsia" w:ascii="方正仿宋简体" w:eastAsia="方正仿宋简体"/>
                <w:bCs/>
              </w:rPr>
              <w:t>生产技术处</w:t>
            </w:r>
            <w:r>
              <w:rPr>
                <w:rFonts w:hint="eastAsia" w:ascii="方正仿宋简体" w:eastAsia="方正仿宋简体"/>
                <w:bCs/>
                <w:lang w:eastAsia="zh-CN"/>
              </w:rPr>
              <w:t>（</w:t>
            </w:r>
            <w:r>
              <w:rPr>
                <w:rFonts w:hint="eastAsia" w:ascii="方正仿宋简体" w:eastAsia="方正仿宋简体"/>
                <w:bCs/>
                <w:lang w:val="en-US" w:eastAsia="zh-CN"/>
              </w:rPr>
              <w:t>EO</w:t>
            </w:r>
            <w:r>
              <w:rPr>
                <w:rFonts w:hint="eastAsia" w:ascii="方正仿宋简体" w:eastAsia="方正仿宋简体"/>
                <w:bCs/>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23</w:t>
            </w:r>
          </w:p>
        </w:tc>
        <w:tc>
          <w:tcPr>
            <w:tcW w:w="7136"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rPr>
              <w:t>建议公司将合成、气化、净化、硝酸车间的所有工序均识别为特殊过程（生产和服务过程的确认），建议应区分特殊过程与生产和服务过程的确认的不同点。</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生产技术处</w:t>
            </w:r>
            <w:r>
              <w:rPr>
                <w:rFonts w:hint="eastAsia"/>
                <w:lang w:eastAsia="zh-CN"/>
              </w:rPr>
              <w:t>（</w:t>
            </w:r>
            <w:r>
              <w:rPr>
                <w:rFonts w:hint="eastAsia"/>
                <w:lang w:val="en-US" w:eastAsia="zh-CN"/>
              </w:rPr>
              <w:t>Q</w:t>
            </w:r>
            <w:r>
              <w:rPr>
                <w:rFonts w:hint="eastAsia"/>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9"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24</w:t>
            </w:r>
          </w:p>
        </w:tc>
        <w:tc>
          <w:tcPr>
            <w:tcW w:w="7136"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rPr>
              <w:t>生产技术处提供的能源初始评价报告中对整个公司的主要用能识别不够明晰，应该将公司的年度用能进行占比分析后做出判断，选出占比前三项高的用能作为公司的主要用能。</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生产技术处</w:t>
            </w:r>
            <w:r>
              <w:rPr>
                <w:rFonts w:hint="eastAsia"/>
                <w:lang w:eastAsia="zh-CN"/>
              </w:rPr>
              <w:t>（</w:t>
            </w:r>
            <w:r>
              <w:rPr>
                <w:rFonts w:hint="eastAsia"/>
                <w:lang w:val="en-US" w:eastAsia="zh-CN"/>
              </w:rPr>
              <w:t>En</w:t>
            </w:r>
            <w:r>
              <w:rPr>
                <w:rFonts w:hint="eastAsia"/>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6"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25</w:t>
            </w:r>
          </w:p>
        </w:tc>
        <w:tc>
          <w:tcPr>
            <w:tcW w:w="7136"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rPr>
              <w:t>公司的2</w:t>
            </w:r>
            <w:r>
              <w:t>021</w:t>
            </w:r>
            <w:r>
              <w:rPr>
                <w:rFonts w:hint="eastAsia"/>
              </w:rPr>
              <w:t>年度的目标尚未制定，而且没有建立能源基准、能源绩效参数，也未能提供评审能源绩效参数值以及与能源基准进行比较的相关文件化信息。</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生产技术处</w:t>
            </w:r>
            <w:r>
              <w:rPr>
                <w:rFonts w:hint="eastAsia"/>
                <w:lang w:eastAsia="zh-CN"/>
              </w:rPr>
              <w:t>（</w:t>
            </w:r>
            <w:r>
              <w:rPr>
                <w:rFonts w:hint="eastAsia"/>
                <w:lang w:val="en-US" w:eastAsia="zh-CN"/>
              </w:rPr>
              <w:t>En</w:t>
            </w:r>
            <w:r>
              <w:rPr>
                <w:rFonts w:hint="eastAsia"/>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0"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26</w:t>
            </w:r>
          </w:p>
        </w:tc>
        <w:tc>
          <w:tcPr>
            <w:tcW w:w="7136"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rPr>
              <w:t>建议将GB∕T 13234-2018 用能单位节能量计算方法、GB/T33656-2017企业能源计量网络图绘制方法、GB/T36713-2018 能源管理体系 能源基准和能源绩效参数、工业和信息化部发布《高耗能落后机电设备（产品）淘汰目录（第四批）》进行收集和评价。</w:t>
            </w:r>
          </w:p>
        </w:tc>
        <w:tc>
          <w:tcPr>
            <w:tcW w:w="2033" w:type="dxa"/>
            <w:tcBorders>
              <w:left w:val="single" w:color="auto" w:sz="4" w:space="0"/>
            </w:tcBorders>
            <w:vAlign w:val="center"/>
          </w:tcPr>
          <w:p>
            <w:pPr>
              <w:jc w:val="center"/>
              <w:rPr>
                <w:rFonts w:hint="eastAsia"/>
                <w:lang w:eastAsia="zh-CN"/>
              </w:rPr>
            </w:pPr>
            <w:r>
              <w:rPr>
                <w:rFonts w:hint="eastAsia"/>
              </w:rPr>
              <w:t>生产技术处</w:t>
            </w:r>
            <w:r>
              <w:rPr>
                <w:rFonts w:hint="eastAsia"/>
                <w:lang w:eastAsia="zh-CN"/>
              </w:rPr>
              <w:t>（</w:t>
            </w:r>
            <w:r>
              <w:rPr>
                <w:rFonts w:hint="eastAsia"/>
                <w:lang w:val="en-US" w:eastAsia="zh-CN"/>
              </w:rPr>
              <w:t>En</w:t>
            </w:r>
            <w:r>
              <w:rPr>
                <w:rFonts w:hint="eastAsia"/>
                <w:lang w:eastAsia="zh-CN"/>
              </w:rPr>
              <w:t>）</w:t>
            </w:r>
          </w:p>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机械动力处（En）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5"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27</w:t>
            </w:r>
          </w:p>
        </w:tc>
        <w:tc>
          <w:tcPr>
            <w:tcW w:w="7136"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rPr>
              <w:t>公司提供的《主要能源使用的能源数据收集计划》不明晰，比如：提出“识别主要能源使用的相关变量”，但是提供不出具体的那个是主要用能，那个是主要用能的相关变量。</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生产技术处</w:t>
            </w:r>
            <w:r>
              <w:rPr>
                <w:rFonts w:hint="eastAsia"/>
                <w:lang w:eastAsia="zh-CN"/>
              </w:rPr>
              <w:t>（</w:t>
            </w:r>
            <w:r>
              <w:rPr>
                <w:rFonts w:hint="eastAsia"/>
                <w:lang w:val="en-US" w:eastAsia="zh-CN"/>
              </w:rPr>
              <w:t>En</w:t>
            </w:r>
            <w:r>
              <w:rPr>
                <w:rFonts w:hint="eastAsia"/>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exact"/>
          <w:jc w:val="center"/>
        </w:trPr>
        <w:tc>
          <w:tcPr>
            <w:tcW w:w="754" w:type="dxa"/>
            <w:tcBorders>
              <w:right w:val="single" w:color="auto" w:sz="4" w:space="0"/>
            </w:tcBorders>
            <w:vAlign w:val="center"/>
          </w:tcPr>
          <w:p>
            <w:pPr>
              <w:jc w:val="center"/>
              <w:rPr>
                <w:rFonts w:hint="default" w:eastAsia="宋体"/>
                <w:lang w:val="en-US" w:eastAsia="zh-CN"/>
              </w:rPr>
            </w:pPr>
            <w:r>
              <w:rPr>
                <w:rFonts w:hint="eastAsia"/>
                <w:lang w:val="en-US" w:eastAsia="zh-CN"/>
              </w:rPr>
              <w:t>28</w:t>
            </w:r>
          </w:p>
        </w:tc>
        <w:tc>
          <w:tcPr>
            <w:tcW w:w="7136"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现场管理还需要加强</w:t>
            </w:r>
          </w:p>
        </w:tc>
        <w:tc>
          <w:tcPr>
            <w:tcW w:w="203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现场（EO</w:t>
            </w:r>
            <w:bookmarkStart w:id="5" w:name="_GoBack"/>
            <w:bookmarkEnd w:id="5"/>
            <w:r>
              <w:rPr>
                <w:rFonts w:hint="eastAsia"/>
                <w:lang w:val="en-US" w:eastAsia="zh-CN"/>
              </w:rPr>
              <w:t>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8" w:hRule="exact"/>
          <w:jc w:val="center"/>
        </w:trPr>
        <w:tc>
          <w:tcPr>
            <w:tcW w:w="754" w:type="dxa"/>
            <w:tcBorders>
              <w:right w:val="single" w:color="auto" w:sz="4" w:space="0"/>
            </w:tcBorders>
            <w:vAlign w:val="center"/>
          </w:tcPr>
          <w:p>
            <w:pPr>
              <w:jc w:val="center"/>
              <w:rPr>
                <w:rFonts w:hint="default" w:eastAsia="宋体"/>
                <w:lang w:val="en-US" w:eastAsia="zh-CN"/>
              </w:rPr>
            </w:pPr>
          </w:p>
        </w:tc>
        <w:tc>
          <w:tcPr>
            <w:tcW w:w="7136"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p>
        </w:tc>
        <w:tc>
          <w:tcPr>
            <w:tcW w:w="2033" w:type="dxa"/>
            <w:tcBorders>
              <w:left w:val="single" w:color="auto" w:sz="4" w:space="0"/>
            </w:tcBorders>
            <w:vAlign w:val="center"/>
          </w:tcPr>
          <w:p>
            <w:pPr>
              <w:rPr>
                <w:rFonts w:hint="eastAsia" w:ascii="Times New Roman" w:hAnsi="Times New Roman" w:eastAsia="宋体" w:cs="Times New Roman"/>
                <w:kern w:val="2"/>
                <w:sz w:val="21"/>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pPr>
              <w:jc w:val="center"/>
              <w:rPr>
                <w:rFonts w:hint="default" w:eastAsia="宋体"/>
                <w:lang w:val="en-US" w:eastAsia="zh-CN"/>
              </w:rPr>
            </w:pPr>
          </w:p>
        </w:tc>
        <w:tc>
          <w:tcPr>
            <w:tcW w:w="7136" w:type="dxa"/>
            <w:gridSpan w:val="2"/>
            <w:tcBorders>
              <w:left w:val="single" w:color="auto" w:sz="4" w:space="0"/>
              <w:right w:val="single" w:color="auto" w:sz="4" w:space="0"/>
            </w:tcBorders>
            <w:vAlign w:val="center"/>
          </w:tcPr>
          <w:p>
            <w:pPr>
              <w:rPr>
                <w:rFonts w:hint="default" w:eastAsia="宋体"/>
                <w:lang w:val="en-US" w:eastAsia="zh-CN"/>
              </w:rPr>
            </w:pPr>
          </w:p>
        </w:tc>
        <w:tc>
          <w:tcPr>
            <w:tcW w:w="2033" w:type="dxa"/>
            <w:tcBorders>
              <w:left w:val="single" w:color="auto" w:sz="4" w:space="0"/>
            </w:tcBorders>
            <w:vAlign w:val="center"/>
          </w:tcPr>
          <w:p>
            <w:pPr>
              <w:rPr>
                <w:rFonts w:hint="eastAsia" w:eastAsia="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54" w:type="dxa"/>
            <w:tcBorders>
              <w:right w:val="single" w:color="auto" w:sz="4" w:space="0"/>
            </w:tcBorders>
            <w:vAlign w:val="center"/>
          </w:tcPr>
          <w:p/>
        </w:tc>
        <w:tc>
          <w:tcPr>
            <w:tcW w:w="7136"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4.05pt;margin-top:2.2pt;height:19.9pt;width:168.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-37观察项（建议项）03版)</w:t>
                </w:r>
              </w:p>
            </w:txbxContent>
          </v:textbox>
        </v:shape>
      </w:pict>
    </w:r>
    <w:r>
      <w:rPr>
        <w:rStyle w:val="9"/>
        <w:rFonts w:hint="default"/>
        <w:w w:val="90"/>
        <w:sz w:val="18"/>
      </w:rPr>
      <w:t>Beijing International Standard united Certification Co.,Ltd.</w:t>
    </w:r>
  </w:p>
  <w:p>
    <w:r>
      <w:pict>
        <v:shape id="_x0000_s4098" o:spid="_x0000_s4098" o:spt="32" type="#_x0000_t32" style="position:absolute;left:0pt;margin-left:-0.05pt;margin-top:10.65pt;height:0pt;width:489.05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05E54"/>
    <w:rsid w:val="01FF6860"/>
    <w:rsid w:val="03243537"/>
    <w:rsid w:val="0911369B"/>
    <w:rsid w:val="137A67C3"/>
    <w:rsid w:val="17712E4F"/>
    <w:rsid w:val="1F2604E0"/>
    <w:rsid w:val="33BC2C2D"/>
    <w:rsid w:val="38E962FB"/>
    <w:rsid w:val="3A1075C3"/>
    <w:rsid w:val="3DC7052C"/>
    <w:rsid w:val="458D7048"/>
    <w:rsid w:val="59F61EA3"/>
    <w:rsid w:val="608B1EBF"/>
    <w:rsid w:val="62056116"/>
    <w:rsid w:val="6A8C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26</Words>
  <Characters>149</Characters>
  <Lines>1</Lines>
  <Paragraphs>1</Paragraphs>
  <TotalTime>1</TotalTime>
  <ScaleCrop>false</ScaleCrop>
  <LinksUpToDate>false</LinksUpToDate>
  <CharactersWithSpaces>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2021-03-18T01:54:22Z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