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成都明为燃烧控制设备有限公司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24001-2016idtISO 14001:2015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成都明为燃烧控制设备有限公司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成都市新都区马家镇普东村四社</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成都市新都工业东区永红路</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13880919733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刘伟</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刘伟</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邱平昌</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工业自动化控制系统、电子设备（放空火炬及放空立管）的设计及销售服务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29.10.07;34.05.00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2019-10-16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纠正和预防措施控制；策划管理；过程监控管理；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市场部</w:t>
            </w:r>
          </w:p>
        </w:tc>
        <w:tc>
          <w:tcPr>
            <w:tcW w:w="6804" w:type="dxa"/>
            <w:vAlign w:val="top"/>
          </w:tcPr>
          <w:p>
            <w:pPr>
              <w:jc w:val="left"/>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工业自动化控制系统、电子设备（放空火炬及放空立管）的设计及销售服务 </w:t>
            </w:r>
          </w:p>
        </w:tc>
        <w:tc>
          <w:tcPr>
            <w:tcW w:w="2519" w:type="dxa"/>
          </w:tcPr>
          <w:p>
            <w:pPr>
              <w:rPr>
                <w:b/>
                <w:color w:val="000000" w:themeColor="text1"/>
                <w:sz w:val="20"/>
                <w:szCs w:val="20"/>
              </w:rPr>
            </w:pPr>
          </w:p>
        </w:tc>
        <w:tc>
          <w:tcPr>
            <w:tcW w:w="1843" w:type="dxa"/>
          </w:tcPr>
          <w:p>
            <w:pPr>
              <w:rPr>
                <w:rFonts w:hint="eastAsia" w:ascii="宋体" w:hAnsi="宋体" w:cs="Times New Roman"/>
                <w:szCs w:val="21"/>
              </w:rPr>
            </w:pPr>
          </w:p>
        </w:tc>
        <w:tc>
          <w:tcPr>
            <w:tcW w:w="3543" w:type="dxa"/>
          </w:tcPr>
          <w:p>
            <w:pPr>
              <w:rPr>
                <w:rFonts w:hint="eastAsia" w:ascii="宋体" w:hAnsi="宋体" w:cs="Times New Roman"/>
                <w:szCs w:val="21"/>
              </w:rPr>
            </w:pPr>
            <w:r>
              <w:rPr>
                <w:rFonts w:hint="eastAsia" w:ascii="宋体" w:hAnsi="宋体" w:cs="Times New Roman"/>
                <w:szCs w:val="21"/>
              </w:rPr>
              <w:t>中华人民共和国环境保护法</w:t>
            </w:r>
          </w:p>
          <w:p>
            <w:pPr>
              <w:rPr>
                <w:rFonts w:hint="eastAsia" w:ascii="宋体" w:hAnsi="宋体" w:cs="Times New Roman"/>
                <w:szCs w:val="21"/>
              </w:rPr>
            </w:pPr>
            <w:r>
              <w:rPr>
                <w:rFonts w:hint="eastAsia" w:ascii="宋体" w:hAnsi="宋体" w:cs="Times New Roman"/>
                <w:szCs w:val="21"/>
              </w:rPr>
              <w:t>中华人民共和国消防法</w:t>
            </w:r>
          </w:p>
          <w:p>
            <w:pPr>
              <w:rPr>
                <w:rFonts w:hint="eastAsia" w:ascii="宋体" w:hAnsi="宋体" w:cs="Times New Roman"/>
                <w:szCs w:val="21"/>
              </w:rPr>
            </w:pPr>
            <w:r>
              <w:rPr>
                <w:rFonts w:hint="eastAsia" w:ascii="宋体" w:hAnsi="宋体" w:cs="Times New Roman"/>
                <w:szCs w:val="21"/>
              </w:rPr>
              <w:t>固体废弃物污染防治法等。</w:t>
            </w:r>
          </w:p>
          <w:p>
            <w:pPr>
              <w:rPr>
                <w:rFonts w:hint="eastAsia" w:ascii="宋体" w:hAnsi="宋体" w:cs="Times New Roman"/>
                <w:szCs w:val="21"/>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2019年10月16日至2021年01月21日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bookmarkStart w:id="21" w:name="_GoBack"/>
      <w:bookmarkEnd w:id="21"/>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numPr>
          <w:ilvl w:val="0"/>
          <w:numId w:val="2"/>
        </w:numPr>
        <w:spacing w:before="312" w:beforeLines="100" w:line="320" w:lineRule="exact"/>
        <w:ind w:left="-1" w:leftChars="-337" w:hanging="707" w:hangingChars="271"/>
        <w:rPr>
          <w:rFonts w:hint="eastAsia" w:ascii="宋体" w:hAnsi="宋体"/>
          <w:b/>
          <w:color w:val="000000" w:themeColor="text1"/>
          <w:sz w:val="26"/>
          <w:szCs w:val="26"/>
        </w:rPr>
      </w:pPr>
      <w:r>
        <w:rPr>
          <w:rFonts w:hint="eastAsia" w:ascii="宋体" w:hAnsi="宋体"/>
          <w:b/>
          <w:color w:val="000000" w:themeColor="text1"/>
          <w:sz w:val="26"/>
          <w:szCs w:val="26"/>
        </w:rPr>
        <w:t>审核发现及审核证据说明</w:t>
      </w:r>
    </w:p>
    <w:tbl>
      <w:tblPr>
        <w:tblStyle w:val="6"/>
        <w:tblpPr w:leftFromText="180" w:rightFromText="180" w:vertAnchor="text" w:horzAnchor="page" w:tblpX="992" w:tblpY="317"/>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eastAsia" w:ascii="宋体" w:hAnsi="宋体"/>
                <w:sz w:val="23"/>
              </w:rPr>
            </w:pPr>
            <w:r>
              <w:rPr>
                <w:rFonts w:hint="eastAsia" w:ascii="宋体" w:hAnsi="宋体"/>
                <w:sz w:val="23"/>
              </w:rPr>
              <w:t xml:space="preserve">环境方针： </w:t>
            </w:r>
          </w:p>
          <w:p>
            <w:pPr>
              <w:jc w:val="left"/>
              <w:rPr>
                <w:rFonts w:hint="eastAsia" w:ascii="宋体" w:hAnsi="宋体" w:cs="Times New Roman"/>
                <w:color w:val="000000" w:themeColor="text1"/>
              </w:rPr>
            </w:pPr>
            <w:r>
              <w:rPr>
                <w:rFonts w:hint="eastAsia" w:ascii="宋体" w:hAnsi="宋体" w:cs="Times New Roman"/>
                <w:color w:val="000000" w:themeColor="text1"/>
              </w:rPr>
              <w:t>遵守法律法规     制造绿色产品</w:t>
            </w:r>
          </w:p>
          <w:p>
            <w:pPr>
              <w:jc w:val="left"/>
              <w:rPr>
                <w:rFonts w:hint="eastAsia" w:ascii="宋体" w:hAnsi="宋体" w:cs="Times New Roman"/>
                <w:color w:val="000000" w:themeColor="text1"/>
              </w:rPr>
            </w:pPr>
            <w:r>
              <w:rPr>
                <w:rFonts w:hint="eastAsia" w:ascii="宋体" w:hAnsi="宋体" w:cs="Times New Roman"/>
                <w:color w:val="000000" w:themeColor="text1"/>
              </w:rPr>
              <w:t>节能降耗降废     清洁安全生产</w:t>
            </w:r>
          </w:p>
          <w:p>
            <w:pPr>
              <w:jc w:val="left"/>
              <w:rPr>
                <w:b/>
                <w:color w:val="000000" w:themeColor="text1"/>
              </w:rPr>
            </w:pPr>
            <w:r>
              <w:rPr>
                <w:rFonts w:hint="eastAsia" w:ascii="宋体" w:hAnsi="宋体" w:cs="Times New Roman"/>
                <w:color w:val="000000" w:themeColor="text1"/>
              </w:rPr>
              <w:t>管理持续改进     建设美好家园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hint="default" w:ascii="宋体" w:hAnsi="宋体" w:eastAsia="宋体"/>
                <w:color w:val="000000" w:themeColor="text1"/>
                <w:lang w:val="en-US" w:eastAsia="zh-CN"/>
              </w:rPr>
            </w:pP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858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848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7.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环境目标：</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w:t>
            </w:r>
            <w:r>
              <w:rPr>
                <w:rFonts w:hint="eastAsia" w:ascii="宋体" w:hAnsi="宋体" w:cs="宋体"/>
                <w:color w:val="000000"/>
                <w:kern w:val="0"/>
                <w:szCs w:val="21"/>
                <w:lang w:eastAsia="zh-CN"/>
              </w:rPr>
              <w:t>生活</w:t>
            </w:r>
            <w:r>
              <w:rPr>
                <w:rFonts w:hint="eastAsia" w:ascii="宋体" w:hAnsi="宋体" w:cs="宋体"/>
                <w:color w:val="000000"/>
                <w:kern w:val="0"/>
                <w:szCs w:val="21"/>
              </w:rPr>
              <w:t>污水排放无投诉；</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、固废分类</w:t>
            </w:r>
            <w:r>
              <w:rPr>
                <w:rFonts w:hint="eastAsia" w:ascii="宋体" w:hAnsi="宋体" w:cs="宋体"/>
                <w:color w:val="000000"/>
                <w:kern w:val="0"/>
                <w:szCs w:val="21"/>
                <w:lang w:val="en-US" w:eastAsia="zh-CN"/>
              </w:rPr>
              <w:t>排放率</w:t>
            </w:r>
            <w:r>
              <w:rPr>
                <w:rFonts w:hint="eastAsia" w:ascii="宋体" w:hAnsi="宋体" w:cs="宋体"/>
                <w:color w:val="000000"/>
                <w:kern w:val="0"/>
                <w:szCs w:val="21"/>
              </w:rPr>
              <w:t>100%；</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火灾事故为0</w:t>
            </w:r>
          </w:p>
          <w:p>
            <w:pPr>
              <w:spacing w:line="360" w:lineRule="auto"/>
              <w:ind w:firstLine="422" w:firstLineChars="20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16</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电缆桥架及附件的生产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val="0"/>
                <w:bCs/>
                <w:color w:val="000000" w:themeColor="text1"/>
                <w:sz w:val="20"/>
                <w:szCs w:val="20"/>
                <w:highlight w:val="none"/>
              </w:rPr>
            </w:pPr>
            <w:r>
              <w:rPr>
                <w:rFonts w:hint="eastAsia" w:ascii="宋体" w:hAnsi="宋体"/>
                <w:b w:val="0"/>
                <w:bCs/>
                <w:color w:val="000000" w:themeColor="text1"/>
                <w:sz w:val="20"/>
                <w:szCs w:val="20"/>
                <w:highlight w:val="none"/>
              </w:rPr>
              <w:t>设备设施（包括信息系统）、</w:t>
            </w:r>
          </w:p>
          <w:p>
            <w:pPr>
              <w:spacing w:line="240" w:lineRule="exact"/>
              <w:rPr>
                <w:rFonts w:ascii="宋体" w:hAnsi="宋体"/>
                <w:b/>
                <w:color w:val="000000" w:themeColor="text1"/>
                <w:sz w:val="20"/>
                <w:szCs w:val="20"/>
                <w:highlight w:val="none"/>
              </w:rPr>
            </w:pPr>
            <w:r>
              <w:rPr>
                <w:rFonts w:hint="eastAsia" w:ascii="宋体" w:hAnsi="宋体"/>
                <w:b w:val="0"/>
                <w:bCs/>
                <w:color w:val="000000" w:themeColor="text1"/>
                <w:sz w:val="20"/>
                <w:szCs w:val="20"/>
                <w:highlight w:val="none"/>
              </w:rPr>
              <w:t>办公面积</w:t>
            </w:r>
            <w:r>
              <w:rPr>
                <w:rFonts w:hint="eastAsia" w:ascii="宋体" w:hAnsi="宋体"/>
                <w:b w:val="0"/>
                <w:bCs/>
                <w:color w:val="000000" w:themeColor="text1"/>
                <w:sz w:val="20"/>
                <w:szCs w:val="20"/>
                <w:highlight w:val="none"/>
                <w:lang w:val="en-US" w:eastAsia="zh-CN"/>
              </w:rPr>
              <w:t>300</w:t>
            </w:r>
            <w:r>
              <w:rPr>
                <w:rFonts w:hint="eastAsia" w:ascii="宋体" w:hAnsi="宋体" w:cs="宋体"/>
                <w:b w:val="0"/>
                <w:bCs/>
                <w:szCs w:val="21"/>
                <w:highlight w:val="none"/>
              </w:rPr>
              <w:t>平方米左右，主要生产设备包括：</w:t>
            </w:r>
            <w:r>
              <w:rPr>
                <w:rFonts w:hint="eastAsia" w:ascii="宋体" w:hAnsi="宋体" w:cs="宋体"/>
                <w:b w:val="0"/>
                <w:bCs/>
                <w:szCs w:val="21"/>
                <w:highlight w:val="none"/>
                <w:lang w:val="en-US" w:eastAsia="zh-CN"/>
              </w:rPr>
              <w:t>台式</w:t>
            </w:r>
            <w:r>
              <w:rPr>
                <w:rFonts w:ascii="宋体" w:hAnsi="宋体" w:cs="宋体"/>
                <w:b w:val="0"/>
                <w:bCs/>
                <w:kern w:val="0"/>
                <w:szCs w:val="21"/>
                <w:highlight w:val="none"/>
              </w:rPr>
              <w:t>电脑</w:t>
            </w:r>
            <w:r>
              <w:rPr>
                <w:rFonts w:hint="eastAsia" w:ascii="宋体" w:hAnsi="宋体" w:cs="宋体"/>
                <w:b w:val="0"/>
                <w:bCs/>
                <w:kern w:val="0"/>
                <w:szCs w:val="21"/>
                <w:highlight w:val="none"/>
                <w:lang w:eastAsia="zh-CN"/>
              </w:rPr>
              <w:t>、</w:t>
            </w:r>
            <w:r>
              <w:rPr>
                <w:rFonts w:hint="eastAsia" w:ascii="宋体" w:hAnsi="宋体" w:cs="宋体"/>
                <w:b w:val="0"/>
                <w:bCs/>
                <w:kern w:val="0"/>
                <w:szCs w:val="21"/>
                <w:highlight w:val="none"/>
                <w:lang w:val="en-US" w:eastAsia="zh-CN"/>
              </w:rPr>
              <w:t>笔记本</w:t>
            </w:r>
            <w:r>
              <w:rPr>
                <w:rFonts w:ascii="宋体" w:hAnsi="宋体" w:cs="宋体"/>
                <w:b w:val="0"/>
                <w:bCs/>
                <w:kern w:val="0"/>
                <w:szCs w:val="21"/>
                <w:highlight w:val="none"/>
              </w:rPr>
              <w:t>、打印机</w:t>
            </w:r>
            <w:r>
              <w:rPr>
                <w:rFonts w:hint="eastAsia" w:ascii="宋体" w:hAnsi="宋体"/>
                <w:b w:val="0"/>
                <w:bCs/>
                <w:szCs w:val="21"/>
                <w:highlight w:val="none"/>
              </w:rPr>
              <w:t>等</w:t>
            </w:r>
            <w:r>
              <w:rPr>
                <w:rFonts w:hint="eastAsia" w:ascii="宋体" w:hAnsi="宋体" w:cs="宋体"/>
                <w:b w:val="0"/>
                <w:bCs/>
                <w:szCs w:val="21"/>
                <w:highlight w:val="none"/>
              </w:rPr>
              <w:t>，可以满足</w:t>
            </w:r>
            <w:r>
              <w:rPr>
                <w:rFonts w:hint="eastAsia" w:ascii="宋体" w:hAnsi="宋体"/>
                <w:szCs w:val="21"/>
                <w:highlight w:val="none"/>
              </w:rPr>
              <w:t xml:space="preserve">工业自动化控制系统、电子设备（放空火炬及放空立管）的设计及销售服务 </w:t>
            </w:r>
            <w:r>
              <w:rPr>
                <w:rFonts w:hint="eastAsia" w:ascii="宋体" w:hAnsi="宋体" w:cs="宋体"/>
                <w:b w:val="0"/>
                <w:bCs/>
                <w:szCs w:val="21"/>
                <w:highlight w:val="none"/>
              </w:rPr>
              <w:t>需要。特种设备：无。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b/>
                <w:color w:val="000000" w:themeColor="text1"/>
                <w:sz w:val="20"/>
                <w:szCs w:val="20"/>
                <w:lang w:eastAsia="zh-CN"/>
              </w:rPr>
            </w:pPr>
            <w:r>
              <w:rPr>
                <w:rFonts w:hint="eastAsia" w:ascii="宋体" w:hAnsi="宋体" w:cs="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eastAsia="宋体"/>
                <w:b/>
                <w:color w:val="000000" w:themeColor="text1"/>
                <w:sz w:val="20"/>
                <w:szCs w:val="20"/>
                <w:lang w:eastAsia="zh-CN"/>
              </w:rPr>
            </w:pPr>
            <w:r>
              <w:rPr>
                <w:rFonts w:hint="eastAsia" w:ascii="宋体" w:hAnsi="宋体" w:cs="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1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8.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9.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.对危险化学品销售、使用、储存、运输处置，规定的执行力度(必要时); （适用时）</w:t>
            </w:r>
          </w:p>
          <w:p>
            <w:pPr>
              <w:spacing w:line="240" w:lineRule="exact"/>
              <w:rPr>
                <w:sz w:val="20"/>
                <w:szCs w:val="20"/>
              </w:rPr>
            </w:pPr>
            <w:r>
              <w:rPr>
                <w:rFonts w:hint="eastAsia"/>
                <w:sz w:val="20"/>
                <w:szCs w:val="20"/>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105" w:firstLineChars="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05" w:leftChars="50" w:firstLine="315" w:firstLineChars="150"/>
              <w:rPr>
                <w:rFonts w:hint="eastAsia" w:eastAsia="宋体"/>
                <w:b/>
                <w:sz w:val="20"/>
                <w:szCs w:val="20"/>
                <w:lang w:val="en-US" w:eastAsia="zh-CN"/>
              </w:rPr>
            </w:pPr>
            <w:r>
              <w:rPr>
                <w:rFonts w:hint="eastAsia" w:ascii="宋体" w:hAnsi="宋体" w:cs="宋体"/>
                <w:szCs w:val="21"/>
              </w:rPr>
              <w:t>公司建立了顾客满意度监视和测量控制程序，对顾客投诉处理及顾客满意度评价做了明确的规定，并按规定对顾客反馈及时处理</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b/>
                <w:sz w:val="20"/>
                <w:szCs w:val="20"/>
              </w:rPr>
            </w:pPr>
            <w:r>
              <w:rPr>
                <w:rFonts w:hint="eastAsia" w:ascii="宋体" w:hAnsi="宋体" w:cs="宋体"/>
                <w:szCs w:val="21"/>
              </w:rPr>
              <w:t>建立有《内部审核控制程序》，规定了内审频次一年一次，内审时间：</w:t>
            </w:r>
            <w:r>
              <w:rPr>
                <w:rFonts w:hint="eastAsia" w:ascii="宋体" w:hAnsi="宋体"/>
                <w:szCs w:val="21"/>
              </w:rPr>
              <w:t>2019年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szCs w:val="21"/>
              </w:rPr>
              <w:t>涉及</w:t>
            </w:r>
            <w:r>
              <w:rPr>
                <w:rFonts w:hint="eastAsia" w:ascii="宋体" w:hAnsi="宋体"/>
                <w:szCs w:val="21"/>
                <w:lang w:val="en-US" w:eastAsia="zh-CN"/>
              </w:rPr>
              <w:t>技术部部不符合8</w:t>
            </w:r>
            <w:r>
              <w:rPr>
                <w:rFonts w:hint="eastAsia" w:ascii="宋体" w:hAnsi="宋体" w:cs="宋体"/>
                <w:szCs w:val="21"/>
                <w:lang w:val="en-US" w:eastAsia="zh-CN"/>
              </w:rPr>
              <w:t>.2条款</w:t>
            </w:r>
            <w:r>
              <w:rPr>
                <w:rFonts w:hint="eastAsia" w:ascii="宋体" w:hAnsi="宋体" w:cs="宋体"/>
                <w:szCs w:val="21"/>
              </w:rPr>
              <w:t>审核中发现没有“事故应急预案”，针对该不符合项，已及时采取纠正措施后，经内审员验证关闭。内审的有效性需要改善。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default" w:eastAsia="宋体"/>
                <w:sz w:val="20"/>
                <w:szCs w:val="20"/>
                <w:lang w:val="en-US" w:eastAsia="zh-CN"/>
              </w:rPr>
            </w:pPr>
            <w:r>
              <w:rPr>
                <w:rFonts w:hint="eastAsia"/>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上次审核不符合7.2条款，经本次验证未出现类视情况。</w:t>
            </w:r>
          </w:p>
        </w:tc>
      </w:tr>
    </w:tbl>
    <w:p>
      <w:pPr>
        <w:numPr>
          <w:ilvl w:val="0"/>
          <w:numId w:val="0"/>
        </w:numPr>
        <w:spacing w:before="312" w:beforeLines="100" w:line="320" w:lineRule="exact"/>
        <w:ind w:leftChars="-608"/>
        <w:rPr>
          <w:rFonts w:hint="eastAsia" w:ascii="宋体" w:hAnsi="宋体"/>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val="0"/>
                <w:bCs/>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 xml:space="preserve">工业自动化控制系统、电子设备（放空火炬及放空立管）的设计及销售服务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Times New Roman" w:hAnsi="Times New Roman" w:cs="Times New Roman"/>
          <w:b/>
          <w:sz w:val="20"/>
          <w:szCs w:val="22"/>
          <w:lang w:val="en-US" w:eastAsia="zh-CN"/>
        </w:rPr>
        <w:t>补充审核</w:t>
      </w:r>
      <w:r>
        <w:rPr>
          <w:rFonts w:hint="eastAsia"/>
          <w:b/>
          <w:sz w:val="20"/>
        </w:rPr>
        <w:t>2020年03月31日</w:t>
      </w:r>
      <w:r>
        <w:rPr>
          <w:rFonts w:hint="eastAsia"/>
          <w:b/>
          <w:sz w:val="20"/>
          <w:lang w:val="en-US" w:eastAsia="zh-CN"/>
        </w:rPr>
        <w:t>预留的0.5人日</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86912" behindDoc="0" locked="0" layoutInCell="1" allowOverlap="1">
            <wp:simplePos x="0" y="0"/>
            <wp:positionH relativeFrom="column">
              <wp:posOffset>1595755</wp:posOffset>
            </wp:positionH>
            <wp:positionV relativeFrom="paragraph">
              <wp:posOffset>253365</wp:posOffset>
            </wp:positionV>
            <wp:extent cx="726440" cy="513715"/>
            <wp:effectExtent l="0" t="0" r="16510" b="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726440" cy="51371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2021年1月21日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ind w:firstLine="211" w:firstLineChars="100"/>
        <w:jc w:val="center"/>
        <w:rPr>
          <w:b/>
          <w:color w:val="000000" w:themeColor="text1"/>
          <w:szCs w:val="21"/>
        </w:rPr>
      </w:pPr>
      <w:r>
        <w:rPr>
          <w:rFonts w:hint="eastAsia"/>
          <w:b/>
          <w:color w:val="000000" w:themeColor="text1"/>
          <w:szCs w:val="21"/>
        </w:rPr>
        <w:drawing>
          <wp:anchor distT="0" distB="0" distL="114300" distR="114300" simplePos="0" relativeHeight="251747328" behindDoc="0" locked="0" layoutInCell="1" allowOverlap="1">
            <wp:simplePos x="0" y="0"/>
            <wp:positionH relativeFrom="column">
              <wp:posOffset>1277620</wp:posOffset>
            </wp:positionH>
            <wp:positionV relativeFrom="paragraph">
              <wp:posOffset>51435</wp:posOffset>
            </wp:positionV>
            <wp:extent cx="584835" cy="413385"/>
            <wp:effectExtent l="0" t="0" r="5715" b="5080"/>
            <wp:wrapSquare wrapText="bothSides"/>
            <wp:docPr id="6" name="图片 6"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林签名"/>
                    <pic:cNvPicPr>
                      <a:picLocks noChangeAspect="1"/>
                    </pic:cNvPicPr>
                  </pic:nvPicPr>
                  <pic:blipFill>
                    <a:blip r:embed="rId6"/>
                    <a:stretch>
                      <a:fillRect/>
                    </a:stretch>
                  </pic:blipFill>
                  <pic:spPr>
                    <a:xfrm>
                      <a:off x="0" y="0"/>
                      <a:ext cx="584835" cy="413385"/>
                    </a:xfrm>
                    <a:prstGeom prst="rect">
                      <a:avLst/>
                    </a:prstGeom>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F2F95"/>
    <w:multiLevelType w:val="singleLevel"/>
    <w:tmpl w:val="478F2F95"/>
    <w:lvl w:ilvl="0" w:tentative="0">
      <w:start w:val="6"/>
      <w:numFmt w:val="chineseCounting"/>
      <w:suff w:val="nothing"/>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F10C9"/>
    <w:rsid w:val="00F16412"/>
    <w:rsid w:val="02166C3C"/>
    <w:rsid w:val="03B30E42"/>
    <w:rsid w:val="058C7F55"/>
    <w:rsid w:val="064854EE"/>
    <w:rsid w:val="07994490"/>
    <w:rsid w:val="101E0C06"/>
    <w:rsid w:val="1C5865C5"/>
    <w:rsid w:val="2022651B"/>
    <w:rsid w:val="21FD324E"/>
    <w:rsid w:val="2CD405EA"/>
    <w:rsid w:val="30343B31"/>
    <w:rsid w:val="331B1E49"/>
    <w:rsid w:val="36044B8D"/>
    <w:rsid w:val="404D2822"/>
    <w:rsid w:val="411A128F"/>
    <w:rsid w:val="4387714A"/>
    <w:rsid w:val="45F1298C"/>
    <w:rsid w:val="47253964"/>
    <w:rsid w:val="49A66D37"/>
    <w:rsid w:val="49DB7569"/>
    <w:rsid w:val="4AEE562D"/>
    <w:rsid w:val="4C484D91"/>
    <w:rsid w:val="51D81108"/>
    <w:rsid w:val="552D07C5"/>
    <w:rsid w:val="5CC225DB"/>
    <w:rsid w:val="62D23489"/>
    <w:rsid w:val="639835C8"/>
    <w:rsid w:val="69C96E5A"/>
    <w:rsid w:val="6AFD1F88"/>
    <w:rsid w:val="6C384AE2"/>
    <w:rsid w:val="6D9D65FE"/>
    <w:rsid w:val="703E1B25"/>
    <w:rsid w:val="71816EE0"/>
    <w:rsid w:val="73E02C83"/>
    <w:rsid w:val="752A40A8"/>
    <w:rsid w:val="75A60730"/>
    <w:rsid w:val="7A7E01EA"/>
    <w:rsid w:val="7C2532EF"/>
    <w:rsid w:val="7DF969F2"/>
    <w:rsid w:val="7E0A01DE"/>
    <w:rsid w:val="7F2410C5"/>
    <w:rsid w:val="7F5F44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2021-01-25T02:49:02Z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