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229"/>
        <w:gridCol w:w="19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广州市白云化工实业有限公司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0025-2021-EnMS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lang w:eastAsia="zh-CN"/>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谢小玲</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6" w:name="联系人电话"/>
            <w:r>
              <w:rPr>
                <w:sz w:val="21"/>
                <w:szCs w:val="21"/>
              </w:rPr>
              <w:t>13760774107</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xiexl@china-baiyun.com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85" w:type="dxa"/>
            <w:gridSpan w:val="3"/>
            <w:vAlign w:val="center"/>
          </w:tcPr>
          <w:p>
            <w:r>
              <w:rPr>
                <w:rFonts w:hint="eastAsia"/>
              </w:rPr>
              <w:t>审核范围</w:t>
            </w:r>
          </w:p>
        </w:tc>
        <w:tc>
          <w:tcPr>
            <w:tcW w:w="6237" w:type="dxa"/>
            <w:gridSpan w:val="9"/>
            <w:vAlign w:val="center"/>
          </w:tcPr>
          <w:p>
            <w:pPr>
              <w:rPr>
                <w:rFonts w:hint="default" w:eastAsia="宋体"/>
                <w:lang w:val="en-US" w:eastAsia="zh-CN"/>
              </w:rPr>
            </w:pPr>
            <w:bookmarkStart w:id="10" w:name="审核范围"/>
            <w:r>
              <w:t>高分子密封材料的设计、制造和销售</w:t>
            </w:r>
            <w:bookmarkEnd w:id="10"/>
            <w:r>
              <w:rPr>
                <w:rFonts w:hint="eastAsia"/>
                <w:lang w:val="en-US" w:eastAsia="zh-CN"/>
              </w:rPr>
              <w:t>涉及的能源管理活动。</w:t>
            </w:r>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85" w:type="dxa"/>
            <w:gridSpan w:val="3"/>
            <w:vAlign w:val="center"/>
          </w:tcPr>
          <w:p>
            <w:r>
              <w:rPr>
                <w:rFonts w:hint="eastAsia"/>
              </w:rPr>
              <w:t>审核准则</w:t>
            </w:r>
          </w:p>
        </w:tc>
        <w:tc>
          <w:tcPr>
            <w:tcW w:w="8741" w:type="dxa"/>
            <w:gridSpan w:val="13"/>
            <w:vAlign w:val="center"/>
          </w:tcPr>
          <w:p>
            <w:pPr>
              <w:rPr>
                <w:rFonts w:hint="eastAsia" w:ascii="宋体" w:hAnsi="宋体" w:eastAsia="宋体"/>
                <w:b/>
                <w:sz w:val="21"/>
                <w:szCs w:val="21"/>
                <w:lang w:eastAsia="zh-CN"/>
              </w:rPr>
            </w:pPr>
            <w:bookmarkStart w:id="12" w:name="审核依据"/>
            <w:r>
              <w:rPr>
                <w:rFonts w:hint="eastAsia" w:ascii="宋体" w:hAnsi="宋体"/>
                <w:b/>
                <w:sz w:val="21"/>
                <w:szCs w:val="21"/>
              </w:rPr>
              <w:t>ISO50001:201</w:t>
            </w:r>
            <w:bookmarkEnd w:id="12"/>
            <w:r>
              <w:rPr>
                <w:rFonts w:hint="eastAsia" w:ascii="宋体" w:hAnsi="宋体"/>
                <w:b/>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2021年01月25日 上午至2021年01月25日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268" w:type="dxa"/>
            <w:gridSpan w:val="3"/>
            <w:vAlign w:val="center"/>
          </w:tcPr>
          <w:p>
            <w:pPr>
              <w:jc w:val="center"/>
              <w:rPr>
                <w:sz w:val="21"/>
                <w:szCs w:val="21"/>
              </w:rPr>
            </w:pPr>
            <w:r>
              <w:rPr>
                <w:rFonts w:hint="eastAsia"/>
                <w:sz w:val="21"/>
                <w:szCs w:val="21"/>
              </w:rPr>
              <w:t>专业代码</w:t>
            </w:r>
          </w:p>
        </w:tc>
        <w:tc>
          <w:tcPr>
            <w:tcW w:w="2072" w:type="dxa"/>
            <w:gridSpan w:val="4"/>
            <w:vAlign w:val="center"/>
          </w:tcPr>
          <w:p>
            <w:pPr>
              <w:jc w:val="center"/>
              <w:rPr>
                <w:sz w:val="21"/>
                <w:szCs w:val="21"/>
              </w:rPr>
            </w:pPr>
            <w:r>
              <w:rPr>
                <w:rFonts w:hint="eastAsia"/>
                <w:sz w:val="21"/>
                <w:szCs w:val="21"/>
              </w:rPr>
              <w:t>联系电话</w:t>
            </w:r>
          </w:p>
        </w:tc>
        <w:tc>
          <w:tcPr>
            <w:tcW w:w="1850"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268" w:type="dxa"/>
            <w:gridSpan w:val="3"/>
            <w:vAlign w:val="center"/>
          </w:tcPr>
          <w:p>
            <w:pPr>
              <w:jc w:val="center"/>
              <w:rPr>
                <w:sz w:val="21"/>
                <w:szCs w:val="21"/>
              </w:rPr>
            </w:pPr>
            <w:r>
              <w:rPr>
                <w:sz w:val="21"/>
                <w:szCs w:val="21"/>
              </w:rPr>
              <w:t>2.3</w:t>
            </w:r>
          </w:p>
        </w:tc>
        <w:tc>
          <w:tcPr>
            <w:tcW w:w="2072" w:type="dxa"/>
            <w:gridSpan w:val="4"/>
            <w:vAlign w:val="center"/>
          </w:tcPr>
          <w:p>
            <w:pPr>
              <w:jc w:val="center"/>
              <w:rPr>
                <w:sz w:val="21"/>
                <w:szCs w:val="21"/>
              </w:rPr>
            </w:pPr>
            <w:r>
              <w:rPr>
                <w:sz w:val="21"/>
                <w:szCs w:val="21"/>
              </w:rPr>
              <w:t>13863734938</w:t>
            </w:r>
          </w:p>
        </w:tc>
        <w:tc>
          <w:tcPr>
            <w:tcW w:w="1850" w:type="dxa"/>
            <w:gridSpan w:val="2"/>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李丽英</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2268" w:type="dxa"/>
            <w:gridSpan w:val="3"/>
            <w:vAlign w:val="center"/>
          </w:tcPr>
          <w:p>
            <w:pPr>
              <w:jc w:val="center"/>
              <w:rPr>
                <w:sz w:val="21"/>
                <w:szCs w:val="21"/>
              </w:rPr>
            </w:pPr>
            <w:r>
              <w:rPr>
                <w:sz w:val="21"/>
                <w:szCs w:val="21"/>
              </w:rPr>
              <w:t>2.3</w:t>
            </w:r>
          </w:p>
        </w:tc>
        <w:tc>
          <w:tcPr>
            <w:tcW w:w="2072" w:type="dxa"/>
            <w:gridSpan w:val="4"/>
            <w:vAlign w:val="center"/>
          </w:tcPr>
          <w:p>
            <w:pPr>
              <w:jc w:val="center"/>
              <w:rPr>
                <w:sz w:val="21"/>
                <w:szCs w:val="21"/>
              </w:rPr>
            </w:pPr>
            <w:r>
              <w:rPr>
                <w:sz w:val="21"/>
                <w:szCs w:val="21"/>
              </w:rPr>
              <w:t>13903215511</w:t>
            </w:r>
          </w:p>
        </w:tc>
        <w:tc>
          <w:tcPr>
            <w:tcW w:w="1850" w:type="dxa"/>
            <w:gridSpan w:val="2"/>
            <w:vAlign w:val="center"/>
          </w:tcPr>
          <w:p>
            <w:pPr>
              <w:jc w:val="center"/>
              <w:rPr>
                <w:sz w:val="21"/>
                <w:szCs w:val="21"/>
              </w:rPr>
            </w:pPr>
            <w:r>
              <w:rPr>
                <w:sz w:val="21"/>
                <w:szCs w:val="21"/>
              </w:rPr>
              <w:t>ISC-21820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姜小清</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268" w:type="dxa"/>
            <w:gridSpan w:val="3"/>
            <w:vAlign w:val="center"/>
          </w:tcPr>
          <w:p>
            <w:pPr>
              <w:jc w:val="center"/>
              <w:rPr>
                <w:sz w:val="21"/>
                <w:szCs w:val="21"/>
              </w:rPr>
            </w:pPr>
          </w:p>
        </w:tc>
        <w:tc>
          <w:tcPr>
            <w:tcW w:w="2072" w:type="dxa"/>
            <w:gridSpan w:val="4"/>
            <w:vAlign w:val="center"/>
          </w:tcPr>
          <w:p>
            <w:pPr>
              <w:jc w:val="center"/>
              <w:rPr>
                <w:sz w:val="21"/>
                <w:szCs w:val="21"/>
              </w:rPr>
            </w:pPr>
            <w:r>
              <w:rPr>
                <w:sz w:val="21"/>
                <w:szCs w:val="21"/>
              </w:rPr>
              <w:t>13801208638</w:t>
            </w:r>
          </w:p>
        </w:tc>
        <w:tc>
          <w:tcPr>
            <w:tcW w:w="1850" w:type="dxa"/>
            <w:gridSpan w:val="2"/>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sz w:val="21"/>
                <w:szCs w:val="21"/>
              </w:rPr>
            </w:pP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p>
      <w:pPr>
        <w:spacing w:line="300" w:lineRule="exact"/>
        <w:ind w:firstLine="4156" w:firstLineChars="2300"/>
        <w:rPr>
          <w:b/>
          <w:color w:val="000000"/>
          <w:sz w:val="18"/>
          <w:szCs w:val="18"/>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700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7005"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972"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2021.1.25</w:t>
            </w: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8：00-8：30</w:t>
            </w:r>
          </w:p>
        </w:tc>
        <w:tc>
          <w:tcPr>
            <w:tcW w:w="7005"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972" w:type="dxa"/>
            <w:tcBorders>
              <w:right w:val="single" w:color="auto" w:sz="8" w:space="0"/>
            </w:tcBorders>
            <w:vAlign w:val="center"/>
          </w:tcPr>
          <w:p>
            <w:pPr>
              <w:ind w:firstLine="180" w:firstLineChars="100"/>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Merge w:val="restart"/>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8：30-16：30</w:t>
            </w:r>
          </w:p>
        </w:tc>
        <w:tc>
          <w:tcPr>
            <w:tcW w:w="7005"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972" w:type="dxa"/>
            <w:tcBorders>
              <w:right w:val="single" w:color="auto" w:sz="8" w:space="0"/>
            </w:tcBorders>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   A</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Merge w:val="continue"/>
            <w:tcBorders/>
            <w:vAlign w:val="center"/>
          </w:tcPr>
          <w:p>
            <w:pPr>
              <w:rPr>
                <w:rFonts w:hint="eastAsia" w:ascii="Times New Roman" w:hAnsi="Times New Roman" w:cs="Times New Roman"/>
                <w:sz w:val="18"/>
                <w:szCs w:val="18"/>
              </w:rPr>
            </w:pPr>
          </w:p>
        </w:tc>
        <w:tc>
          <w:tcPr>
            <w:tcW w:w="7005"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972" w:type="dxa"/>
            <w:tcBorders>
              <w:right w:val="single" w:color="auto" w:sz="8" w:space="0"/>
            </w:tcBorders>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Merge w:val="continue"/>
            <w:tcBorders/>
            <w:vAlign w:val="center"/>
          </w:tcPr>
          <w:p>
            <w:pPr>
              <w:rPr>
                <w:rFonts w:hint="default" w:ascii="Times New Roman" w:hAnsi="Times New Roman" w:eastAsia="宋体" w:cs="Times New Roman"/>
                <w:sz w:val="18"/>
                <w:szCs w:val="18"/>
                <w:lang w:val="en-US" w:eastAsia="zh-CN"/>
              </w:rPr>
            </w:pPr>
          </w:p>
        </w:tc>
        <w:tc>
          <w:tcPr>
            <w:tcW w:w="7005"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972" w:type="dxa"/>
            <w:tcBorders>
              <w:right w:val="single" w:color="auto" w:sz="8" w:space="0"/>
            </w:tcBorders>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Merge w:val="continue"/>
            <w:tcBorders/>
            <w:vAlign w:val="center"/>
          </w:tcPr>
          <w:p>
            <w:pPr>
              <w:rPr>
                <w:rFonts w:hint="eastAsia" w:ascii="Times New Roman" w:hAnsi="Times New Roman" w:eastAsia="宋体" w:cs="Times New Roman"/>
                <w:kern w:val="2"/>
                <w:sz w:val="18"/>
                <w:szCs w:val="18"/>
                <w:lang w:val="en-US" w:eastAsia="zh-CN" w:bidi="ar-SA"/>
              </w:rPr>
            </w:pPr>
          </w:p>
        </w:tc>
        <w:tc>
          <w:tcPr>
            <w:tcW w:w="7005"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972" w:type="dxa"/>
            <w:tcBorders>
              <w:right w:val="single" w:color="auto" w:sz="8" w:space="0"/>
            </w:tcBorders>
            <w:vAlign w:val="center"/>
          </w:tcPr>
          <w:p>
            <w:pPr>
              <w:ind w:firstLine="180" w:firstLineChars="100"/>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8：30-16：30</w:t>
            </w:r>
          </w:p>
        </w:tc>
        <w:tc>
          <w:tcPr>
            <w:tcW w:w="7005"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972" w:type="dxa"/>
            <w:tcBorders>
              <w:right w:val="single" w:color="auto" w:sz="8" w:space="0"/>
            </w:tcBorders>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8：30-16：30</w:t>
            </w:r>
          </w:p>
        </w:tc>
        <w:tc>
          <w:tcPr>
            <w:tcW w:w="7005"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972" w:type="dxa"/>
            <w:tcBorders>
              <w:right w:val="single" w:color="auto" w:sz="8" w:space="0"/>
            </w:tcBorders>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16：30-17：00</w:t>
            </w:r>
          </w:p>
        </w:tc>
        <w:tc>
          <w:tcPr>
            <w:tcW w:w="7005"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972" w:type="dxa"/>
            <w:tcBorders>
              <w:right w:val="single" w:color="auto" w:sz="8" w:space="0"/>
            </w:tcBorders>
            <w:shd w:val="clear" w:color="auto" w:fill="92D050"/>
            <w:vAlign w:val="center"/>
          </w:tcPr>
          <w:p>
            <w:pPr>
              <w:ind w:firstLine="180" w:firstLineChars="100"/>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ABC</w:t>
            </w:r>
          </w:p>
        </w:tc>
      </w:tr>
    </w:tbl>
    <w:p>
      <w:pPr>
        <w:tabs>
          <w:tab w:val="left" w:pos="432"/>
        </w:tabs>
        <w:spacing w:line="360" w:lineRule="auto"/>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B625F1"/>
    <w:rsid w:val="6F3769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开门大吉～ISO认证服务</cp:lastModifiedBy>
  <cp:lastPrinted>2019-03-27T03:10:00Z</cp:lastPrinted>
  <dcterms:modified xsi:type="dcterms:W3CDTF">2021-01-22T13:46:26Z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