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重庆元享机械有限公司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17.10.02</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000000" w:themeColor="text1"/>
                <w:sz w:val="21"/>
              </w:rPr>
              <w:t>重庆元享机械有限公司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重庆市渝北区双凤桥街道劝业路11号1幢整幢</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401120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重庆市渝北区双凤桥街道劝业路11号1幢整幢</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401120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重庆市渝北区双凤桥街道劝业路11号1幢整幢</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401120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唐贤春</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023-67219719</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王天平</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唐贤春</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2021年01月21日 上午至2021年01月21日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审核范围"/>
            <w:bookmarkStart w:id="25" w:name="E勾选Add1"/>
            <w:r>
              <w:rPr>
                <w:sz w:val="20"/>
              </w:rPr>
              <w:t>机械零部件的加工</w:t>
            </w:r>
            <w:bookmarkEnd w:id="24"/>
          </w:p>
          <w:p>
            <w:pPr>
              <w:spacing w:line="360" w:lineRule="exact"/>
              <w:rPr>
                <w:rFonts w:ascii="宋体" w:hAnsi="宋体"/>
                <w:b/>
                <w:sz w:val="21"/>
                <w:szCs w:val="21"/>
              </w:rPr>
            </w:pPr>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17.10.02</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2022.12.30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b/>
                <w:sz w:val="20"/>
              </w:rPr>
              <w:t>2019年12月10日至11日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b/>
          <w:sz w:val="20"/>
        </w:rPr>
        <w:t>2019年12月11日</w:t>
      </w:r>
      <w:r>
        <w:rPr>
          <w:rFonts w:hint="eastAsia" w:ascii="宋体" w:hAnsi="宋体"/>
          <w:b/>
          <w:sz w:val="21"/>
          <w:szCs w:val="21"/>
        </w:rPr>
        <w:t>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01</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numPr>
          <w:ilvl w:val="0"/>
          <w:numId w:val="1"/>
        </w:numPr>
        <w:tabs>
          <w:tab w:val="left" w:pos="645"/>
        </w:tabs>
        <w:spacing w:before="326" w:beforeLines="100" w:after="163" w:afterLines="50" w:line="360" w:lineRule="exact"/>
        <w:rPr>
          <w:rFonts w:hint="eastAsia"/>
          <w:b/>
          <w:sz w:val="26"/>
          <w:szCs w:val="26"/>
        </w:rPr>
      </w:pPr>
      <w:r>
        <w:rPr>
          <w:rFonts w:hint="eastAsia"/>
          <w:b/>
          <w:sz w:val="26"/>
          <w:szCs w:val="26"/>
        </w:rPr>
        <w:t>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11" w:hangingChars="100"/>
              <w:jc w:val="center"/>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ind w:firstLine="420" w:firstLineChars="200"/>
              <w:rPr>
                <w:b/>
                <w:color w:val="000000" w:themeColor="text1"/>
                <w:sz w:val="21"/>
                <w:szCs w:val="21"/>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w:t>
            </w:r>
            <w:r>
              <w:rPr>
                <w:rFonts w:hint="eastAsia" w:ascii="宋体" w:hAnsi="宋体"/>
                <w:color w:val="000000" w:themeColor="text1"/>
                <w:sz w:val="21"/>
                <w:szCs w:val="21"/>
                <w:lang w:val="en-US" w:eastAsia="zh-CN"/>
              </w:rPr>
              <w:t>8.3</w:t>
            </w:r>
            <w:r>
              <w:rPr>
                <w:rFonts w:hint="eastAsia" w:ascii="宋体" w:hAnsi="宋体"/>
                <w:color w:val="000000" w:themeColor="text1"/>
                <w:sz w:val="21"/>
                <w:szCs w:val="21"/>
              </w:rPr>
              <w:t>条款</w:t>
            </w:r>
            <w:r>
              <w:rPr>
                <w:rFonts w:hint="eastAsia" w:ascii="宋体" w:hAnsi="宋体"/>
                <w:color w:val="000000" w:themeColor="text1"/>
                <w:sz w:val="21"/>
                <w:szCs w:val="21"/>
                <w:lang w:eastAsia="zh-CN"/>
              </w:rPr>
              <w:t>不</w:t>
            </w:r>
            <w:r>
              <w:rPr>
                <w:rFonts w:hint="eastAsia" w:ascii="宋体" w:hAnsi="宋体"/>
                <w:color w:val="000000" w:themeColor="text1"/>
                <w:sz w:val="21"/>
                <w:szCs w:val="21"/>
              </w:rPr>
              <w:t>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400" w:lineRule="exact"/>
              <w:rPr>
                <w:b/>
                <w:color w:val="000000" w:themeColor="text1"/>
                <w:sz w:val="21"/>
                <w:szCs w:val="21"/>
              </w:rPr>
            </w:pPr>
            <w:r>
              <w:rPr>
                <w:b/>
                <w:color w:val="000000" w:themeColor="text1"/>
                <w:sz w:val="21"/>
                <w:szCs w:val="21"/>
              </w:rPr>
              <w:t>3.</w:t>
            </w:r>
            <w:r>
              <w:rPr>
                <w:rFonts w:hint="eastAsia" w:ascii="宋体" w:hAnsi="宋体"/>
                <w:sz w:val="21"/>
                <w:szCs w:val="21"/>
              </w:rPr>
              <w:t xml:space="preserve">☑ </w:t>
            </w:r>
            <w:r>
              <w:rPr>
                <w:rFonts w:hint="eastAsia" w:ascii="宋体" w:hAnsi="宋体"/>
                <w:b/>
                <w:color w:val="000000" w:themeColor="text1"/>
                <w:sz w:val="21"/>
                <w:szCs w:val="21"/>
              </w:rPr>
              <w:t>质量/</w:t>
            </w:r>
            <w:r>
              <w:rPr>
                <w:rFonts w:hint="eastAsia" w:ascii="宋体" w:hAnsi="宋体"/>
                <w:sz w:val="21"/>
                <w:szCs w:val="21"/>
              </w:rPr>
              <w:t xml:space="preserve">□ </w:t>
            </w:r>
            <w:r>
              <w:rPr>
                <w:rFonts w:hint="eastAsia" w:ascii="宋体" w:hAnsi="宋体"/>
                <w:b/>
                <w:color w:val="000000" w:themeColor="text1"/>
                <w:sz w:val="21"/>
                <w:szCs w:val="21"/>
              </w:rPr>
              <w:t>环境/</w:t>
            </w:r>
            <w:r>
              <w:rPr>
                <w:rFonts w:hint="eastAsia" w:ascii="宋体" w:hAnsi="宋体"/>
                <w:sz w:val="21"/>
                <w:szCs w:val="21"/>
              </w:rPr>
              <w:t xml:space="preserve">□ </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sz w:val="21"/>
                <w:szCs w:val="21"/>
                <w:lang w:eastAsia="zh-CN"/>
              </w:rPr>
              <w:t>质量第一、用户至上、服务周到、持续改进</w:t>
            </w:r>
            <w:r>
              <w:rPr>
                <w:rFonts w:hint="eastAsia" w:ascii="宋体" w:hAnsi="宋体" w:cs="宋体"/>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420" w:firstLineChars="200"/>
              <w:rPr>
                <w:rFonts w:ascii="宋体" w:hAnsi="宋体"/>
                <w:color w:val="000000" w:themeColor="text1"/>
                <w:sz w:val="21"/>
                <w:szCs w:val="21"/>
              </w:rPr>
            </w:pPr>
            <w:r>
              <w:rPr>
                <w:rFonts w:hint="eastAsia" w:ascii="宋体" w:hAnsi="宋体"/>
                <w:color w:val="000000" w:themeColor="text1"/>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spacing w:line="0" w:lineRule="atLeast"/>
              <w:jc w:val="left"/>
              <w:rPr>
                <w:rFonts w:ascii="宋体" w:hAnsi="宋体"/>
                <w:sz w:val="21"/>
                <w:szCs w:val="21"/>
              </w:rPr>
            </w:pPr>
            <w:r>
              <w:rPr>
                <w:rFonts w:hint="eastAsia" w:ascii="宋体" w:hAnsi="宋体"/>
                <w:b/>
                <w:color w:val="000000" w:themeColor="text1"/>
                <w:sz w:val="21"/>
                <w:szCs w:val="21"/>
              </w:rPr>
              <w:t>质量管理体系过程有：</w:t>
            </w:r>
            <w:r>
              <w:rPr>
                <w:rFonts w:ascii="宋体" w:hAnsi="宋体"/>
                <w:b/>
                <w:color w:val="000000" w:themeColor="text1"/>
                <w:sz w:val="21"/>
                <w:szCs w:val="21"/>
              </w:rPr>
              <w:t>机械零部件的加工</w:t>
            </w:r>
          </w:p>
          <w:p>
            <w:pPr>
              <w:tabs>
                <w:tab w:val="left" w:pos="540"/>
              </w:tabs>
              <w:spacing w:line="300" w:lineRule="exact"/>
              <w:rPr>
                <w:rFonts w:hint="eastAsia" w:ascii="宋体" w:hAnsi="宋体" w:eastAsia="宋体"/>
                <w:b/>
                <w:color w:val="000000" w:themeColor="text1"/>
                <w:sz w:val="21"/>
                <w:szCs w:val="21"/>
                <w:u w:val="single"/>
                <w:lang w:eastAsia="zh-CN"/>
              </w:rPr>
            </w:pPr>
            <w:r>
              <w:rPr>
                <w:rFonts w:hint="eastAsia" w:ascii="宋体" w:hAnsi="宋体"/>
                <w:b/>
                <w:color w:val="000000" w:themeColor="text1"/>
                <w:sz w:val="21"/>
                <w:szCs w:val="21"/>
              </w:rPr>
              <w:t>其中关键过程有：</w:t>
            </w:r>
            <w:r>
              <w:rPr>
                <w:rFonts w:hint="eastAsia" w:ascii="宋体" w:hAnsi="宋体"/>
                <w:color w:val="000000" w:themeColor="text1"/>
                <w:sz w:val="21"/>
                <w:szCs w:val="21"/>
                <w:lang w:eastAsia="zh-CN"/>
              </w:rPr>
              <w:t>机加过程</w:t>
            </w:r>
          </w:p>
          <w:p>
            <w:pPr>
              <w:tabs>
                <w:tab w:val="left" w:pos="540"/>
              </w:tabs>
              <w:spacing w:line="300" w:lineRule="exact"/>
              <w:ind w:left="201" w:hanging="211" w:hangingChars="100"/>
              <w:rPr>
                <w:rFonts w:ascii="宋体" w:hAnsi="宋体"/>
                <w:b/>
                <w:color w:val="FF0000"/>
                <w:sz w:val="21"/>
                <w:szCs w:val="21"/>
                <w:u w:val="single"/>
              </w:rPr>
            </w:pPr>
            <w:r>
              <w:rPr>
                <w:rFonts w:hint="eastAsia" w:ascii="宋体" w:hAnsi="宋体"/>
                <w:b/>
                <w:color w:val="000000" w:themeColor="text1"/>
                <w:sz w:val="21"/>
                <w:szCs w:val="21"/>
              </w:rPr>
              <w:t xml:space="preserve">需要确认过程： </w:t>
            </w:r>
            <w:r>
              <w:rPr>
                <w:rFonts w:hint="eastAsia" w:ascii="宋体" w:hAnsi="宋体"/>
                <w:b w:val="0"/>
                <w:bCs/>
                <w:color w:val="000000" w:themeColor="text1"/>
                <w:sz w:val="21"/>
                <w:szCs w:val="21"/>
                <w:lang w:eastAsia="zh-CN"/>
              </w:rPr>
              <w:t>无</w:t>
            </w:r>
            <w:r>
              <w:rPr>
                <w:rFonts w:hint="eastAsia" w:ascii="宋体" w:hAnsi="宋体"/>
                <w:b/>
                <w:color w:val="FF0000"/>
                <w:sz w:val="21"/>
                <w:szCs w:val="21"/>
              </w:rPr>
              <w:t xml:space="preserve"> </w:t>
            </w:r>
          </w:p>
          <w:p>
            <w:pPr>
              <w:tabs>
                <w:tab w:val="left" w:pos="540"/>
              </w:tabs>
              <w:spacing w:line="300" w:lineRule="exact"/>
              <w:ind w:left="201" w:hanging="211" w:hangingChars="100"/>
              <w:rPr>
                <w:rFonts w:ascii="宋体" w:hAnsi="宋体"/>
                <w:b/>
                <w:color w:val="000000" w:themeColor="text1"/>
                <w:sz w:val="21"/>
                <w:szCs w:val="21"/>
              </w:rPr>
            </w:pPr>
            <w:r>
              <w:rPr>
                <w:b/>
                <w:color w:val="000000" w:themeColor="text1"/>
                <w:sz w:val="21"/>
                <w:szCs w:val="21"/>
              </w:rPr>
              <w:pict>
                <v:shape id="_x0000_s2051" o:spid="_x0000_s2051"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2" o:spid="_x0000_s2052"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不适用条款是 Q8.3       ，不适用理由：</w:t>
            </w:r>
            <w:r>
              <w:rPr>
                <w:rFonts w:hint="eastAsia" w:ascii="宋体" w:hAnsi="宋体"/>
                <w:color w:val="000000" w:themeColor="text1"/>
                <w:sz w:val="21"/>
                <w:szCs w:val="21"/>
              </w:rPr>
              <w:t>公司产品均按国家、行业相关标准以及客户</w:t>
            </w:r>
            <w:r>
              <w:rPr>
                <w:rFonts w:hint="eastAsia" w:ascii="宋体" w:hAnsi="宋体"/>
                <w:color w:val="000000" w:themeColor="text1"/>
                <w:sz w:val="21"/>
                <w:szCs w:val="21"/>
                <w:lang w:eastAsia="zh-CN"/>
              </w:rPr>
              <w:t>技术、工艺</w:t>
            </w:r>
            <w:r>
              <w:rPr>
                <w:rFonts w:hint="eastAsia" w:ascii="宋体" w:hAnsi="宋体"/>
                <w:color w:val="000000" w:themeColor="text1"/>
                <w:sz w:val="21"/>
                <w:szCs w:val="21"/>
              </w:rPr>
              <w:t xml:space="preserve">要求进行生产,故标准8.3设计和开发不适用          </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r>
              <w:rPr>
                <w:rFonts w:ascii="宋体" w:hAnsi="宋体"/>
                <w:b/>
                <w:color w:val="000000" w:themeColor="text1"/>
                <w:spacing w:val="-12"/>
                <w:sz w:val="21"/>
                <w:szCs w:val="21"/>
              </w:rPr>
              <w:t xml:space="preserve"> </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6" w:firstLineChars="150"/>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390" w:firstLineChars="200"/>
              <w:rPr>
                <w:rFonts w:ascii="宋体" w:hAnsi="宋体"/>
                <w:b/>
                <w:color w:val="000000" w:themeColor="text1"/>
                <w:spacing w:val="-8"/>
                <w:sz w:val="21"/>
                <w:szCs w:val="21"/>
              </w:rPr>
            </w:pPr>
            <w:r>
              <w:rPr>
                <w:rFonts w:hint="eastAsia" w:ascii="宋体" w:hAnsi="宋体"/>
                <w:b/>
                <w:color w:val="000000" w:themeColor="text1"/>
                <w:spacing w:val="-8"/>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pacing w:val="-4"/>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tabs>
                <w:tab w:val="left" w:pos="540"/>
              </w:tabs>
              <w:spacing w:line="300" w:lineRule="exact"/>
              <w:ind w:left="211" w:hanging="211" w:hangingChars="100"/>
              <w:rPr>
                <w:rFonts w:ascii="宋体" w:hAnsi="宋体"/>
                <w:b/>
                <w:color w:val="000000" w:themeColor="text1"/>
                <w:sz w:val="21"/>
                <w:szCs w:val="21"/>
              </w:rPr>
            </w:pPr>
          </w:p>
          <w:p>
            <w:pPr>
              <w:pStyle w:val="14"/>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获取法律法规项，☑法律法规获取充分，□法律法规获取有遗漏，缺少</w:t>
            </w:r>
          </w:p>
          <w:p>
            <w:pPr>
              <w:tabs>
                <w:tab w:val="left" w:pos="540"/>
              </w:tabs>
              <w:spacing w:line="300" w:lineRule="exact"/>
              <w:ind w:left="-12" w:leftChars="-43" w:hanging="91" w:hangingChars="43"/>
              <w:rPr>
                <w:rFonts w:ascii="宋体" w:hAnsi="宋体"/>
                <w:b/>
                <w:color w:val="000000" w:themeColor="text1"/>
                <w:sz w:val="21"/>
                <w:szCs w:val="21"/>
                <w:u w:val="single"/>
              </w:rPr>
            </w:pPr>
          </w:p>
          <w:p>
            <w:pPr>
              <w:pStyle w:val="14"/>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4"/>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4"/>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p>
          <w:p>
            <w:pPr>
              <w:tabs>
                <w:tab w:val="left" w:pos="0"/>
              </w:tabs>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 w:val="21"/>
                <w:szCs w:val="21"/>
              </w:rPr>
            </w:pPr>
            <w:r>
              <w:rPr>
                <w:rFonts w:hint="eastAsia"/>
                <w:color w:val="000000"/>
                <w:sz w:val="21"/>
                <w:szCs w:val="21"/>
              </w:rPr>
              <w:t>质</w:t>
            </w:r>
            <w:r>
              <w:rPr>
                <w:rFonts w:hint="eastAsia" w:ascii="宋体" w:hAnsi="宋体" w:cs="宋体"/>
                <w:color w:val="000000"/>
                <w:kern w:val="0"/>
                <w:sz w:val="21"/>
                <w:szCs w:val="21"/>
              </w:rPr>
              <w:t>量目标：</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1. 产品一次交验合格率</w:t>
            </w:r>
            <w:r>
              <w:rPr>
                <w:rFonts w:hint="eastAsia" w:ascii="宋体" w:hAnsi="宋体" w:cs="宋体"/>
                <w:color w:val="000000"/>
                <w:kern w:val="0"/>
                <w:sz w:val="21"/>
                <w:szCs w:val="21"/>
                <w:lang w:val="en-US" w:eastAsia="zh-CN"/>
              </w:rPr>
              <w:t>98</w:t>
            </w:r>
            <w:r>
              <w:rPr>
                <w:rFonts w:hint="eastAsia" w:ascii="宋体" w:hAnsi="宋体" w:cs="宋体"/>
                <w:color w:val="000000"/>
                <w:kern w:val="0"/>
                <w:sz w:val="21"/>
                <w:szCs w:val="21"/>
                <w:lang w:eastAsia="zh-CN"/>
              </w:rPr>
              <w:t>％以上；</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2. 客户满意度达到9</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lang w:eastAsia="zh-CN"/>
              </w:rPr>
              <w:t>分以上；</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lang w:eastAsia="zh-CN"/>
              </w:rPr>
              <w:t>产品按期交付率≥98%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ind w:firstLine="420" w:firstLineChars="200"/>
              <w:rPr>
                <w:rFonts w:ascii="宋体" w:hAnsi="宋体"/>
                <w:b/>
                <w:color w:val="000000" w:themeColor="text1"/>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质量管理</w:t>
            </w:r>
            <w:r>
              <w:rPr>
                <w:rFonts w:hint="eastAsia" w:ascii="宋体" w:hAnsi="宋体" w:cs="宋体"/>
                <w:color w:val="000000" w:themeColor="text1"/>
                <w:sz w:val="21"/>
                <w:szCs w:val="21"/>
              </w:rPr>
              <w:t>体系文件，体系文件对管理体系各过程进行了识别确定、明确了各要素间的相互关系及其管控要求。公司体系文件于</w:t>
            </w:r>
            <w:r>
              <w:rPr>
                <w:rFonts w:hint="eastAsia" w:ascii="宋体" w:hAnsi="宋体" w:cs="Arial"/>
                <w:color w:val="000000" w:themeColor="text1"/>
                <w:sz w:val="21"/>
                <w:szCs w:val="21"/>
              </w:rPr>
              <w:t>201</w:t>
            </w:r>
            <w:r>
              <w:rPr>
                <w:rFonts w:hint="eastAsia" w:ascii="宋体" w:hAnsi="宋体" w:cs="Arial"/>
                <w:color w:val="000000" w:themeColor="text1"/>
                <w:sz w:val="21"/>
                <w:szCs w:val="21"/>
                <w:lang w:val="en-US" w:eastAsia="zh-CN"/>
              </w:rPr>
              <w:t>9</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产品的生产</w:t>
            </w:r>
            <w:r>
              <w:rPr>
                <w:rFonts w:hint="eastAsia" w:ascii="宋体" w:hAnsi="宋体"/>
                <w:bCs/>
                <w:iCs/>
                <w:sz w:val="21"/>
                <w:szCs w:val="21"/>
              </w:rPr>
              <w:t>及相关服务运行环境，可以维持管理体系的正常运行。</w:t>
            </w:r>
          </w:p>
          <w:p>
            <w:pPr>
              <w:spacing w:line="300" w:lineRule="exact"/>
              <w:rPr>
                <w:rFonts w:ascii="宋体" w:hAnsi="宋体"/>
                <w:b/>
                <w:color w:val="000000" w:themeColor="text1"/>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400" w:lineRule="exact"/>
              <w:ind w:firstLine="420" w:firstLineChars="200"/>
              <w:rPr>
                <w:rFonts w:ascii="宋体" w:hAnsi="宋体"/>
                <w:b/>
                <w:color w:val="FF0000"/>
                <w:sz w:val="21"/>
                <w:szCs w:val="21"/>
              </w:rPr>
            </w:pPr>
            <w:r>
              <w:rPr>
                <w:rFonts w:hint="eastAsia" w:ascii="宋体" w:hAnsi="宋体"/>
                <w:bCs/>
                <w:iCs/>
                <w:sz w:val="21"/>
                <w:szCs w:val="21"/>
              </w:rPr>
              <w:t>厂房面积</w:t>
            </w:r>
            <w:r>
              <w:rPr>
                <w:rFonts w:hint="eastAsia" w:ascii="宋体" w:hAnsi="宋体"/>
                <w:bCs/>
                <w:iCs/>
                <w:sz w:val="21"/>
                <w:szCs w:val="21"/>
                <w:lang w:val="en-US" w:eastAsia="zh-CN"/>
              </w:rPr>
              <w:t>2000</w:t>
            </w:r>
            <w:r>
              <w:rPr>
                <w:rFonts w:hint="eastAsia" w:ascii="宋体" w:hAnsi="宋体"/>
                <w:bCs/>
                <w:iCs/>
                <w:sz w:val="21"/>
                <w:szCs w:val="21"/>
              </w:rPr>
              <w:t>平方米左右，库房与生产场所分区，办公场所面积</w:t>
            </w:r>
            <w:r>
              <w:rPr>
                <w:rFonts w:hint="eastAsia" w:ascii="宋体" w:hAnsi="宋体"/>
                <w:bCs/>
                <w:iCs/>
                <w:sz w:val="21"/>
                <w:szCs w:val="21"/>
                <w:lang w:val="en-US" w:eastAsia="zh-CN"/>
              </w:rPr>
              <w:t>200</w:t>
            </w:r>
            <w:r>
              <w:rPr>
                <w:rFonts w:hint="eastAsia" w:ascii="宋体" w:hAnsi="宋体"/>
                <w:bCs/>
                <w:iCs/>
                <w:sz w:val="21"/>
                <w:szCs w:val="21"/>
              </w:rPr>
              <w:t>平方米左右.主要生产设备包括：</w:t>
            </w:r>
            <w:r>
              <w:rPr>
                <w:rFonts w:hint="eastAsia" w:ascii="宋体" w:hAnsi="宋体"/>
                <w:bCs/>
                <w:iCs/>
                <w:sz w:val="21"/>
                <w:szCs w:val="21"/>
                <w:lang w:eastAsia="zh-CN"/>
              </w:rPr>
              <w:t>数控龙门加工中心、空压机、</w:t>
            </w:r>
            <w:r>
              <w:rPr>
                <w:rFonts w:hint="eastAsia" w:ascii="宋体" w:hAnsi="宋体"/>
                <w:bCs/>
                <w:iCs/>
                <w:sz w:val="21"/>
                <w:szCs w:val="21"/>
                <w:highlight w:val="none"/>
                <w:lang w:eastAsia="zh-CN"/>
              </w:rPr>
              <w:t>摇臂钻</w:t>
            </w:r>
            <w:r>
              <w:rPr>
                <w:rFonts w:hint="eastAsia" w:ascii="宋体" w:hAnsi="宋体"/>
                <w:bCs/>
                <w:iCs/>
                <w:sz w:val="21"/>
                <w:szCs w:val="21"/>
                <w:highlight w:val="none"/>
              </w:rPr>
              <w:t>等，可以满足生产需要。对设备按月方式进行点检维护保养，并实施。特种设备：</w:t>
            </w:r>
            <w:r>
              <w:rPr>
                <w:rFonts w:hint="eastAsia" w:ascii="宋体" w:hAnsi="宋体"/>
                <w:bCs/>
                <w:iCs/>
                <w:sz w:val="21"/>
                <w:szCs w:val="21"/>
                <w:highlight w:val="none"/>
                <w:lang w:eastAsia="zh-CN"/>
              </w:rPr>
              <w:t>行车</w:t>
            </w:r>
            <w:r>
              <w:rPr>
                <w:rFonts w:hint="eastAsia" w:ascii="宋体" w:hAnsi="宋体"/>
                <w:bCs/>
                <w:iCs/>
                <w:sz w:val="21"/>
                <w:szCs w:val="21"/>
                <w:highlight w:val="none"/>
                <w:lang w:val="en-US" w:eastAsia="zh-CN"/>
              </w:rPr>
              <w:t>2个</w:t>
            </w:r>
            <w:r>
              <w:rPr>
                <w:rFonts w:hint="eastAsia" w:ascii="宋体" w:hAnsi="宋体"/>
                <w:bCs/>
                <w:iCs/>
                <w:sz w:val="21"/>
                <w:szCs w:val="21"/>
                <w:highlight w:val="none"/>
              </w:rPr>
              <w:t>。公司</w:t>
            </w:r>
            <w:r>
              <w:rPr>
                <w:rFonts w:hint="eastAsia" w:ascii="宋体" w:hAnsi="宋体"/>
                <w:bCs/>
                <w:iCs/>
                <w:sz w:val="21"/>
                <w:szCs w:val="21"/>
              </w:rPr>
              <w:t>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ind w:firstLine="420" w:firstLineChars="200"/>
              <w:rPr>
                <w:rFonts w:ascii="宋体" w:hAnsi="宋体"/>
                <w:b/>
                <w:color w:val="000000" w:themeColor="text1"/>
                <w:sz w:val="21"/>
                <w:szCs w:val="21"/>
              </w:rPr>
            </w:pPr>
            <w:r>
              <w:rPr>
                <w:rFonts w:hint="eastAsia" w:ascii="宋体" w:hAnsi="宋体" w:cs="宋体"/>
                <w:sz w:val="21"/>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cs="宋体"/>
                <w:color w:val="000000"/>
                <w:sz w:val="21"/>
                <w:szCs w:val="21"/>
              </w:rPr>
            </w:pPr>
            <w:r>
              <w:rPr>
                <w:rFonts w:hint="eastAsia" w:ascii="宋体" w:hAnsi="宋体"/>
                <w:b/>
                <w:color w:val="000000" w:themeColor="text1"/>
                <w:sz w:val="21"/>
                <w:szCs w:val="21"/>
              </w:rPr>
              <w:t>监视和测量资源</w:t>
            </w:r>
          </w:p>
          <w:p>
            <w:pPr>
              <w:spacing w:line="240" w:lineRule="exact"/>
              <w:ind w:firstLine="420" w:firstLineChars="200"/>
              <w:rPr>
                <w:rFonts w:ascii="宋体" w:hAnsi="宋体"/>
                <w:b/>
                <w:color w:val="FF0000"/>
                <w:sz w:val="21"/>
                <w:szCs w:val="21"/>
              </w:rPr>
            </w:pPr>
            <w:r>
              <w:rPr>
                <w:rFonts w:hint="eastAsia" w:ascii="宋体" w:hAnsi="宋体" w:cs="宋体"/>
                <w:color w:val="000000" w:themeColor="text1"/>
                <w:sz w:val="21"/>
                <w:szCs w:val="21"/>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环保设施：</w:t>
            </w:r>
          </w:p>
          <w:p>
            <w:pPr>
              <w:spacing w:line="240" w:lineRule="exact"/>
              <w:rPr>
                <w:rFonts w:hint="eastAsia" w:ascii="宋体" w:hAnsi="宋体" w:eastAsia="宋体"/>
                <w:color w:val="000000" w:themeColor="text1"/>
                <w:sz w:val="21"/>
                <w:szCs w:val="21"/>
                <w:lang w:val="en-US" w:eastAsia="zh-CN"/>
              </w:rPr>
            </w:pPr>
            <w:r>
              <w:rPr>
                <w:rFonts w:hint="eastAsia" w:ascii="宋体" w:hAnsi="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职业健康安全设施：</w:t>
            </w:r>
          </w:p>
          <w:p>
            <w:pPr>
              <w:spacing w:line="240" w:lineRule="exact"/>
              <w:rPr>
                <w:rFonts w:hint="eastAsia" w:ascii="宋体" w:hAnsi="宋体" w:eastAsia="宋体"/>
                <w:color w:val="000000" w:themeColor="text1"/>
                <w:sz w:val="21"/>
                <w:szCs w:val="21"/>
                <w:lang w:val="en-US" w:eastAsia="zh-CN"/>
              </w:rPr>
            </w:pPr>
            <w:r>
              <w:rPr>
                <w:rFonts w:hint="eastAsia" w:ascii="宋体" w:hAnsi="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(三)体系运行情况</w:t>
            </w:r>
          </w:p>
        </w:tc>
        <w:tc>
          <w:tcPr>
            <w:tcW w:w="9198" w:type="dxa"/>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宋体" w:hAnsi="宋体" w:cs="宋体"/>
                <w:color w:val="000000"/>
                <w:sz w:val="21"/>
                <w:szCs w:val="21"/>
              </w:rPr>
              <w:t>内部沟通的效果：良好</w:t>
            </w:r>
          </w:p>
          <w:p>
            <w:pPr>
              <w:spacing w:line="240" w:lineRule="exact"/>
              <w:rPr>
                <w:rFonts w:ascii="楷体_GB2312" w:eastAsia="楷体_GB2312"/>
                <w:b/>
                <w:color w:val="000000" w:themeColor="text1"/>
                <w:sz w:val="21"/>
                <w:szCs w:val="21"/>
              </w:rPr>
            </w:pPr>
          </w:p>
          <w:p>
            <w:pPr>
              <w:spacing w:line="240" w:lineRule="exact"/>
              <w:rPr>
                <w:rFonts w:ascii="宋体" w:hAnsi="宋体" w:cs="宋体"/>
                <w:color w:val="000000"/>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1"/>
                <w:szCs w:val="21"/>
              </w:rPr>
            </w:pPr>
            <w:r>
              <w:rPr>
                <w:rFonts w:hint="eastAsia"/>
                <w:b/>
                <w:color w:val="000000" w:themeColor="text1"/>
                <w:sz w:val="21"/>
                <w:szCs w:val="21"/>
              </w:rPr>
              <w:t>(应说明相关证据)：</w:t>
            </w:r>
            <w:r>
              <w:rPr>
                <w:rFonts w:hint="eastAsia" w:ascii="宋体" w:hAnsi="宋体" w:cs="宋体"/>
                <w:color w:val="000000"/>
                <w:sz w:val="21"/>
                <w:szCs w:val="21"/>
              </w:rPr>
              <w:t>验收规范、验收记录等。</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240" w:lineRule="exact"/>
              <w:ind w:firstLine="420" w:firstLineChars="200"/>
              <w:rPr>
                <w:rFonts w:ascii="宋体" w:hAnsi="宋体" w:cs="宋体"/>
                <w:color w:val="000000"/>
                <w:sz w:val="21"/>
                <w:szCs w:val="21"/>
              </w:rPr>
            </w:pPr>
            <w:r>
              <w:rPr>
                <w:rFonts w:hint="eastAsia" w:ascii="宋体" w:hAnsi="宋体" w:cs="宋体"/>
                <w:color w:val="000000"/>
                <w:sz w:val="21"/>
                <w:szCs w:val="21"/>
              </w:rPr>
              <w:t>无</w:t>
            </w:r>
          </w:p>
          <w:p>
            <w:pPr>
              <w:spacing w:line="240" w:lineRule="exact"/>
              <w:ind w:firstLine="422" w:firstLineChars="200"/>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240" w:lineRule="exact"/>
              <w:rPr>
                <w:b/>
                <w:color w:val="000000" w:themeColor="text1"/>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spacing w:line="240" w:lineRule="exact"/>
              <w:rPr>
                <w:b/>
                <w:color w:val="000000" w:themeColor="text1"/>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
                <w:color w:val="000000" w:themeColor="text1"/>
                <w:spacing w:val="-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highlight w:val="none"/>
              </w:rPr>
            </w:pPr>
            <w:r>
              <w:rPr>
                <w:rFonts w:hint="eastAsia"/>
                <w:b/>
                <w:color w:val="000000" w:themeColor="text1"/>
                <w:sz w:val="21"/>
                <w:szCs w:val="21"/>
                <w:highlight w:val="none"/>
              </w:rPr>
              <w:t xml:space="preserve">10. 对特种设备的维护; </w:t>
            </w:r>
            <w:r>
              <w:rPr>
                <w:rFonts w:hint="eastAsia"/>
                <w:b/>
                <w:sz w:val="21"/>
                <w:szCs w:val="21"/>
                <w:highlight w:val="none"/>
              </w:rPr>
              <w:t>（适用时）</w:t>
            </w:r>
          </w:p>
          <w:p>
            <w:pPr>
              <w:spacing w:line="360" w:lineRule="auto"/>
              <w:ind w:firstLine="420" w:firstLineChars="200"/>
              <w:rPr>
                <w:rFonts w:hint="default" w:eastAsia="宋体"/>
                <w:b/>
                <w:color w:val="000000" w:themeColor="text1"/>
                <w:sz w:val="21"/>
                <w:szCs w:val="21"/>
                <w:highlight w:val="none"/>
                <w:lang w:val="en-US" w:eastAsia="zh-CN"/>
              </w:rPr>
            </w:pPr>
            <w:r>
              <w:rPr>
                <w:rFonts w:hint="eastAsia" w:ascii="宋体" w:hAnsi="宋体" w:cs="宋体"/>
                <w:color w:val="000000" w:themeColor="text1"/>
                <w:sz w:val="21"/>
                <w:szCs w:val="21"/>
                <w:highlight w:val="none"/>
              </w:rPr>
              <w:t>特种设备：</w:t>
            </w:r>
            <w:r>
              <w:rPr>
                <w:rFonts w:hint="eastAsia" w:ascii="宋体" w:hAnsi="宋体" w:cs="宋体"/>
                <w:color w:val="000000" w:themeColor="text1"/>
                <w:sz w:val="21"/>
                <w:szCs w:val="21"/>
                <w:highlight w:val="none"/>
                <w:lang w:eastAsia="zh-CN"/>
              </w:rPr>
              <w:t>行车</w:t>
            </w:r>
            <w:r>
              <w:rPr>
                <w:rFonts w:hint="eastAsia" w:ascii="宋体" w:hAnsi="宋体" w:cs="宋体"/>
                <w:color w:val="000000" w:themeColor="text1"/>
                <w:sz w:val="21"/>
                <w:szCs w:val="21"/>
                <w:highlight w:val="none"/>
                <w:lang w:val="en-US" w:eastAsia="zh-CN"/>
              </w:rPr>
              <w:t>2台能提供有效合格证明及年检报告。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sz w:val="21"/>
                <w:szCs w:val="21"/>
              </w:rPr>
            </w:pPr>
            <w:r>
              <w:rPr>
                <w:rFonts w:hint="eastAsia"/>
                <w:b/>
                <w:color w:val="000000" w:themeColor="text1"/>
                <w:sz w:val="21"/>
                <w:szCs w:val="21"/>
              </w:rPr>
              <w:t>11 .对危险化学品销售、使用、储存、运输处置，规定的执行力度(必要时);</w:t>
            </w:r>
            <w:r>
              <w:rPr>
                <w:rFonts w:hint="eastAsia"/>
                <w:b/>
                <w:color w:val="FF0000"/>
                <w:sz w:val="21"/>
                <w:szCs w:val="21"/>
              </w:rPr>
              <w:t xml:space="preserve"> </w:t>
            </w:r>
            <w:r>
              <w:rPr>
                <w:rFonts w:hint="eastAsia"/>
                <w:b/>
                <w:sz w:val="21"/>
                <w:szCs w:val="21"/>
              </w:rPr>
              <w:t>（适用时）</w:t>
            </w:r>
          </w:p>
          <w:p>
            <w:pPr>
              <w:spacing w:line="240" w:lineRule="exact"/>
              <w:rPr>
                <w:color w:val="FF0000"/>
                <w:sz w:val="21"/>
                <w:szCs w:val="21"/>
              </w:rPr>
            </w:pPr>
            <w:r>
              <w:rPr>
                <w:rFonts w:hint="eastAsia" w:asciiTheme="minorEastAsia" w:hAnsiTheme="minorEastAsia" w:eastAsiaTheme="minorEastAsia"/>
                <w:b/>
                <w:color w:val="000000" w:themeColor="text1"/>
                <w:spacing w:val="-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(四)监视测量方面</w:t>
            </w: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525" w:firstLineChars="250"/>
              <w:rPr>
                <w:b/>
                <w:color w:val="000000" w:themeColor="text1"/>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w:t>
            </w:r>
            <w:r>
              <w:rPr>
                <w:rFonts w:hint="eastAsia" w:ascii="宋体" w:hAnsi="宋体" w:cs="宋体"/>
                <w:color w:val="000000" w:themeColor="text1"/>
                <w:sz w:val="21"/>
                <w:szCs w:val="21"/>
              </w:rPr>
              <w:t>和监视评价，通过数</w:t>
            </w:r>
            <w:r>
              <w:rPr>
                <w:rFonts w:hint="eastAsia" w:ascii="宋体" w:hAnsi="宋体" w:cs="宋体"/>
                <w:color w:val="000000" w:themeColor="text1"/>
                <w:sz w:val="21"/>
                <w:szCs w:val="21"/>
                <w:highlight w:val="none"/>
              </w:rPr>
              <w:t>据的汇总统计、描述性统计等方法对目标进行了测量，总体已达到或超过了规定的目标值。通过20</w:t>
            </w:r>
            <w:r>
              <w:rPr>
                <w:rFonts w:hint="eastAsia" w:ascii="宋体" w:hAnsi="宋体" w:cs="宋体"/>
                <w:color w:val="000000" w:themeColor="text1"/>
                <w:sz w:val="21"/>
                <w:szCs w:val="21"/>
                <w:highlight w:val="none"/>
                <w:lang w:val="en-US" w:eastAsia="zh-CN"/>
              </w:rPr>
              <w:t>20</w:t>
            </w:r>
            <w:r>
              <w:rPr>
                <w:rFonts w:hint="eastAsia" w:ascii="宋体" w:hAnsi="宋体" w:cs="宋体"/>
                <w:color w:val="000000" w:themeColor="text1"/>
                <w:sz w:val="21"/>
                <w:szCs w:val="21"/>
                <w:highlight w:val="none"/>
              </w:rPr>
              <w:t>年</w:t>
            </w:r>
            <w:r>
              <w:rPr>
                <w:rFonts w:hint="eastAsia" w:ascii="宋体" w:hAnsi="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val="en-US" w:eastAsia="zh-CN"/>
              </w:rPr>
              <w:t>12</w:t>
            </w:r>
            <w:r>
              <w:rPr>
                <w:rFonts w:hint="eastAsia" w:ascii="宋体" w:hAnsi="宋体" w:cs="宋体"/>
                <w:color w:val="000000" w:themeColor="text1"/>
                <w:sz w:val="21"/>
                <w:szCs w:val="21"/>
                <w:highlight w:val="none"/>
              </w:rPr>
              <w:t>月目标的测</w:t>
            </w:r>
            <w:r>
              <w:rPr>
                <w:rFonts w:hint="eastAsia" w:ascii="宋体" w:hAnsi="宋体" w:cs="宋体"/>
                <w:color w:val="000000"/>
                <w:sz w:val="21"/>
                <w:szCs w:val="21"/>
              </w:rPr>
              <w:t>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2.顾客满意</w:t>
            </w:r>
          </w:p>
          <w:p>
            <w:pPr>
              <w:spacing w:line="240" w:lineRule="exact"/>
              <w:ind w:left="120" w:leftChars="50" w:firstLine="315" w:firstLineChars="150"/>
              <w:rPr>
                <w:b/>
                <w:color w:val="000000" w:themeColor="text1"/>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w:t>
            </w:r>
            <w:r>
              <w:rPr>
                <w:rFonts w:hint="eastAsia" w:ascii="宋体" w:hAnsi="宋体" w:cs="宋体"/>
                <w:color w:val="000000"/>
                <w:sz w:val="21"/>
                <w:szCs w:val="21"/>
                <w:highlight w:val="none"/>
              </w:rPr>
              <w:t>客反馈信息的利用上不够，需要改善。近年来未发生重大顾客投诉和产品质量事故。顾客满意度调查按规定实施，20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月实施，满意度评价</w:t>
            </w:r>
            <w:r>
              <w:rPr>
                <w:rFonts w:hint="eastAsia" w:ascii="宋体" w:hAnsi="宋体" w:cs="宋体"/>
                <w:color w:val="000000"/>
                <w:sz w:val="21"/>
                <w:szCs w:val="21"/>
                <w:highlight w:val="none"/>
                <w:lang w:val="en-US" w:eastAsia="zh-CN"/>
              </w:rPr>
              <w:t>98%</w:t>
            </w:r>
            <w:r>
              <w:rPr>
                <w:rFonts w:hint="eastAsia" w:ascii="宋体" w:hAnsi="宋体" w:cs="宋体"/>
                <w:color w:val="000000"/>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tabs>
                <w:tab w:val="left" w:pos="5250"/>
              </w:tabs>
              <w:rPr>
                <w:b/>
                <w:color w:val="FF0000"/>
                <w:sz w:val="21"/>
                <w:szCs w:val="21"/>
              </w:rPr>
            </w:pPr>
            <w:r>
              <w:rPr>
                <w:rFonts w:hint="eastAsia" w:ascii="宋体" w:hAnsi="宋体" w:cs="宋体"/>
                <w:sz w:val="21"/>
                <w:szCs w:val="21"/>
              </w:rPr>
              <w:t>建立有《内部审核控制程序》，规定了内审频次一年一次，内审时</w:t>
            </w:r>
            <w:r>
              <w:rPr>
                <w:rFonts w:hint="eastAsia" w:ascii="宋体" w:hAnsi="宋体" w:cs="宋体"/>
                <w:sz w:val="21"/>
                <w:szCs w:val="21"/>
                <w:highlight w:val="none"/>
              </w:rPr>
              <w:t>间：</w:t>
            </w:r>
            <w:r>
              <w:rPr>
                <w:rFonts w:hint="eastAsia"/>
                <w:sz w:val="21"/>
                <w:szCs w:val="21"/>
                <w:highlight w:val="none"/>
                <w:lang w:eastAsia="zh-CN"/>
              </w:rPr>
              <w:t>20</w:t>
            </w:r>
            <w:r>
              <w:rPr>
                <w:rFonts w:hint="eastAsia"/>
                <w:sz w:val="21"/>
                <w:szCs w:val="21"/>
                <w:highlight w:val="none"/>
                <w:lang w:val="en-US" w:eastAsia="zh-CN"/>
              </w:rPr>
              <w:t>20</w:t>
            </w:r>
            <w:r>
              <w:rPr>
                <w:rFonts w:hint="eastAsia"/>
                <w:sz w:val="21"/>
                <w:szCs w:val="21"/>
                <w:highlight w:val="none"/>
                <w:lang w:eastAsia="zh-CN"/>
              </w:rPr>
              <w:t>年</w:t>
            </w:r>
            <w:r>
              <w:rPr>
                <w:rFonts w:hint="eastAsia"/>
                <w:sz w:val="21"/>
                <w:szCs w:val="21"/>
                <w:highlight w:val="none"/>
                <w:lang w:val="en-US" w:eastAsia="zh-CN"/>
              </w:rPr>
              <w:t>10月2</w:t>
            </w:r>
            <w:r>
              <w:rPr>
                <w:rFonts w:hint="eastAsia"/>
                <w:sz w:val="21"/>
                <w:szCs w:val="21"/>
                <w:highlight w:val="none"/>
                <w:lang w:eastAsia="zh-CN"/>
              </w:rPr>
              <w:t>0日</w:t>
            </w:r>
            <w:r>
              <w:rPr>
                <w:rFonts w:hint="eastAsia" w:ascii="宋体" w:hAnsi="宋体" w:cs="宋体"/>
                <w:sz w:val="21"/>
                <w:szCs w:val="21"/>
                <w:highlight w:val="none"/>
              </w:rPr>
              <w:t>，拟定了审核实施表，明确了内审范围，内审人员经培训合格上岗，能力满足要求，未出现审核本部门情况，内审不符合项1项， 涉及</w:t>
            </w:r>
            <w:r>
              <w:rPr>
                <w:rFonts w:hint="eastAsia" w:ascii="宋体" w:hAnsi="宋体" w:cs="宋体"/>
                <w:sz w:val="21"/>
                <w:szCs w:val="21"/>
                <w:highlight w:val="none"/>
                <w:lang w:eastAsia="zh-CN"/>
              </w:rPr>
              <w:t>综合办现场查看发现《</w:t>
            </w:r>
            <w:r>
              <w:rPr>
                <w:rFonts w:hint="eastAsia" w:ascii="宋体" w:hAnsi="宋体" w:cs="宋体"/>
                <w:sz w:val="21"/>
                <w:szCs w:val="21"/>
                <w:highlight w:val="none"/>
                <w:lang w:val="en-US" w:eastAsia="zh-CN"/>
              </w:rPr>
              <w:t>GB/T 17773形状和位置公差 延伸公差带及其表示法</w:t>
            </w:r>
            <w:r>
              <w:rPr>
                <w:rFonts w:hint="eastAsia" w:ascii="宋体" w:hAnsi="宋体" w:cs="宋体"/>
                <w:sz w:val="21"/>
                <w:szCs w:val="21"/>
                <w:highlight w:val="none"/>
                <w:lang w:eastAsia="zh-CN"/>
              </w:rPr>
              <w:t>》不是最新版本</w:t>
            </w:r>
            <w:r>
              <w:rPr>
                <w:rFonts w:hint="eastAsia" w:ascii="宋体" w:hAnsi="宋体" w:cs="宋体"/>
                <w:sz w:val="21"/>
                <w:szCs w:val="21"/>
                <w:highlight w:val="none"/>
                <w:lang w:val="en-US" w:eastAsia="zh-CN"/>
              </w:rPr>
              <w:t>不符合条款7.5.3</w:t>
            </w:r>
            <w:r>
              <w:rPr>
                <w:rFonts w:hint="eastAsia" w:ascii="宋体" w:hAnsi="宋体" w:cs="宋体"/>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jc w:val="both"/>
              <w:rPr>
                <w:b/>
                <w:color w:val="000000" w:themeColor="text1"/>
                <w:sz w:val="21"/>
                <w:szCs w:val="21"/>
              </w:rPr>
            </w:pPr>
            <w:r>
              <w:rPr>
                <w:rFonts w:hint="eastAsia" w:ascii="宋体" w:hAnsi="宋体" w:cs="宋体"/>
                <w:sz w:val="21"/>
                <w:szCs w:val="21"/>
              </w:rPr>
              <w:t>管理评审频次为一年一次、本次管理</w:t>
            </w:r>
            <w:r>
              <w:rPr>
                <w:rFonts w:hint="eastAsia" w:ascii="宋体" w:hAnsi="宋体" w:cs="宋体"/>
                <w:sz w:val="21"/>
                <w:szCs w:val="21"/>
                <w:highlight w:val="none"/>
              </w:rPr>
              <w:t>评审于</w:t>
            </w:r>
            <w:r>
              <w:rPr>
                <w:rFonts w:hint="eastAsia" w:ascii="宋体" w:hAnsi="宋体"/>
                <w:kern w:val="0"/>
                <w:sz w:val="21"/>
                <w:szCs w:val="21"/>
                <w:highlight w:val="none"/>
                <w:lang w:eastAsia="zh-CN"/>
              </w:rPr>
              <w:t>20</w:t>
            </w:r>
            <w:r>
              <w:rPr>
                <w:rFonts w:hint="eastAsia" w:ascii="宋体" w:hAnsi="宋体"/>
                <w:kern w:val="0"/>
                <w:sz w:val="21"/>
                <w:szCs w:val="21"/>
                <w:highlight w:val="none"/>
                <w:lang w:val="en-US" w:eastAsia="zh-CN"/>
              </w:rPr>
              <w:t>20</w:t>
            </w:r>
            <w:r>
              <w:rPr>
                <w:rFonts w:hint="eastAsia" w:ascii="宋体" w:hAnsi="宋体"/>
                <w:kern w:val="0"/>
                <w:sz w:val="21"/>
                <w:szCs w:val="21"/>
                <w:highlight w:val="none"/>
                <w:lang w:eastAsia="zh-CN"/>
              </w:rPr>
              <w:t>年</w:t>
            </w:r>
            <w:r>
              <w:rPr>
                <w:rFonts w:hint="eastAsia" w:ascii="宋体" w:hAnsi="宋体"/>
                <w:kern w:val="0"/>
                <w:sz w:val="21"/>
                <w:szCs w:val="21"/>
                <w:highlight w:val="none"/>
                <w:lang w:val="en-US" w:eastAsia="zh-CN"/>
              </w:rPr>
              <w:t>11</w:t>
            </w:r>
            <w:r>
              <w:rPr>
                <w:rFonts w:hint="eastAsia" w:ascii="宋体" w:hAnsi="宋体"/>
                <w:kern w:val="0"/>
                <w:sz w:val="21"/>
                <w:szCs w:val="21"/>
                <w:highlight w:val="none"/>
                <w:lang w:eastAsia="zh-CN"/>
              </w:rPr>
              <w:t>月</w:t>
            </w:r>
            <w:r>
              <w:rPr>
                <w:rFonts w:hint="eastAsia" w:ascii="宋体" w:hAnsi="宋体"/>
                <w:kern w:val="0"/>
                <w:sz w:val="21"/>
                <w:szCs w:val="21"/>
                <w:highlight w:val="none"/>
                <w:lang w:val="en-US" w:eastAsia="zh-CN"/>
              </w:rPr>
              <w:t>10</w:t>
            </w:r>
            <w:r>
              <w:rPr>
                <w:rFonts w:hint="eastAsia" w:ascii="宋体" w:hAnsi="宋体"/>
                <w:kern w:val="0"/>
                <w:sz w:val="21"/>
                <w:szCs w:val="21"/>
                <w:highlight w:val="none"/>
                <w:lang w:eastAsia="zh-CN"/>
              </w:rPr>
              <w:t>日</w:t>
            </w:r>
            <w:r>
              <w:rPr>
                <w:rFonts w:hint="eastAsia" w:ascii="宋体" w:hAnsi="宋体" w:cs="宋体"/>
                <w:sz w:val="21"/>
                <w:szCs w:val="21"/>
                <w:highlight w:val="none"/>
              </w:rPr>
              <w:t>由总经理主持完</w:t>
            </w:r>
            <w:r>
              <w:rPr>
                <w:rFonts w:hint="eastAsia" w:ascii="宋体" w:hAnsi="宋体" w:cs="宋体"/>
                <w:sz w:val="21"/>
                <w:szCs w:val="21"/>
              </w:rPr>
              <w:t>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rPr>
                <w:color w:val="FF0000"/>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b/>
                <w:color w:val="000000" w:themeColor="text1"/>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300" w:lineRule="exact"/>
              <w:rPr>
                <w:b/>
                <w:color w:val="000000" w:themeColor="text1"/>
                <w:sz w:val="21"/>
                <w:szCs w:val="21"/>
              </w:rPr>
            </w:pPr>
            <w:r>
              <w:rPr>
                <w:rFonts w:hint="eastAsia"/>
                <w:b/>
                <w:color w:val="000000" w:themeColor="text1"/>
                <w:sz w:val="21"/>
                <w:szCs w:val="21"/>
              </w:rPr>
              <w:t>/</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b/>
                <w:color w:val="FF0000"/>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1"/>
                <w:szCs w:val="21"/>
              </w:rPr>
            </w:pPr>
          </w:p>
        </w:tc>
        <w:tc>
          <w:tcPr>
            <w:tcW w:w="9198" w:type="dxa"/>
            <w:tcBorders>
              <w:bottom w:val="single" w:color="auto" w:sz="4" w:space="0"/>
            </w:tcBorders>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b/>
                <w:color w:val="FF0000"/>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3"/>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hint="default" w:ascii="宋体" w:hAnsi="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3"/>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rPr>
                <w:rFonts w:hint="eastAsia" w:ascii="宋体" w:hAnsi="宋体"/>
                <w:b/>
                <w:sz w:val="21"/>
                <w:szCs w:val="21"/>
                <w:lang w:val="en-US" w:eastAsia="zh-CN"/>
              </w:rPr>
            </w:pPr>
            <w:r>
              <w:rPr>
                <w:rFonts w:hint="eastAsia" w:ascii="Times New Roman" w:hAnsi="Times New Roman" w:eastAsia="宋体" w:cs="Times New Roman"/>
                <w:color w:val="auto"/>
                <w:kern w:val="2"/>
                <w:sz w:val="21"/>
                <w:szCs w:val="22"/>
                <w:highlight w:val="none"/>
                <w:lang w:val="en-US" w:eastAsia="zh-CN" w:bidi="ar-SA"/>
              </w:rPr>
              <w:t>上次不符合为</w:t>
            </w:r>
            <w:r>
              <w:rPr>
                <w:rFonts w:hint="eastAsia" w:ascii="Times New Roman" w:hAnsi="Times New Roman" w:cs="Times New Roman"/>
                <w:color w:val="auto"/>
                <w:kern w:val="2"/>
                <w:sz w:val="21"/>
                <w:szCs w:val="22"/>
                <w:highlight w:val="none"/>
                <w:lang w:val="en-US" w:eastAsia="zh-CN" w:bidi="ar-SA"/>
              </w:rPr>
              <w:t>营销</w:t>
            </w:r>
            <w:r>
              <w:rPr>
                <w:rFonts w:hint="eastAsia" w:ascii="Times New Roman" w:hAnsi="Times New Roman" w:eastAsia="宋体" w:cs="Times New Roman"/>
                <w:color w:val="auto"/>
                <w:kern w:val="2"/>
                <w:sz w:val="21"/>
                <w:szCs w:val="22"/>
                <w:highlight w:val="none"/>
                <w:lang w:val="en-US" w:eastAsia="zh-CN" w:bidi="ar-SA"/>
              </w:rPr>
              <w:t>部</w:t>
            </w:r>
            <w:r>
              <w:rPr>
                <w:rFonts w:hint="eastAsia" w:ascii="Times New Roman" w:hAnsi="Times New Roman" w:cs="Times New Roman"/>
                <w:color w:val="auto"/>
                <w:kern w:val="2"/>
                <w:sz w:val="21"/>
                <w:szCs w:val="22"/>
                <w:highlight w:val="none"/>
                <w:lang w:val="en-US" w:eastAsia="zh-CN" w:bidi="ar-SA"/>
              </w:rPr>
              <w:t>8.4.1</w:t>
            </w:r>
            <w:r>
              <w:rPr>
                <w:rFonts w:hint="eastAsia" w:ascii="Times New Roman" w:hAnsi="Times New Roman" w:eastAsia="宋体" w:cs="Times New Roman"/>
                <w:color w:val="auto"/>
                <w:kern w:val="2"/>
                <w:sz w:val="21"/>
                <w:szCs w:val="22"/>
                <w:highlight w:val="none"/>
                <w:lang w:val="en-US" w:eastAsia="zh-CN" w:bidi="ar-SA"/>
              </w:rPr>
              <w:t>条款，经本次审核验证均整改且无类似不符合情况出现。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537" w:firstLineChars="223"/>
        <w:rPr>
          <w:rFonts w:hint="eastAsia" w:ascii="宋体" w:eastAsia="宋体"/>
          <w:b/>
          <w:szCs w:val="21"/>
          <w:lang w:val="en-US" w:eastAsia="zh-CN"/>
        </w:rPr>
      </w:pPr>
      <w:r>
        <w:rPr>
          <w:rFonts w:hint="eastAsia" w:ascii="宋体" w:hAnsi="宋体"/>
          <w:b/>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537" w:firstLineChars="223"/>
        <w:rPr>
          <w:rFonts w:ascii="宋体"/>
          <w:b/>
          <w:szCs w:val="21"/>
        </w:rPr>
      </w:pPr>
      <w:r>
        <w:rPr>
          <w:rFonts w:hint="eastAsia" w:ascii="宋体" w:hAnsi="宋体"/>
          <w:b/>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highlight w:val="none"/>
        </w:rPr>
      </w:pPr>
      <w:r>
        <w:rPr>
          <w:rFonts w:hint="eastAsia"/>
          <w:b/>
          <w:sz w:val="26"/>
          <w:szCs w:val="26"/>
          <w:highlight w:val="none"/>
        </w:rPr>
        <w:t>八、本次审核不符合项</w:t>
      </w:r>
    </w:p>
    <w:p>
      <w:pPr>
        <w:spacing w:line="400" w:lineRule="exact"/>
        <w:ind w:left="420" w:leftChars="175" w:firstLine="101" w:firstLineChars="42"/>
        <w:rPr>
          <w:rFonts w:ascii="宋体" w:hAnsi="宋体"/>
          <w:b/>
          <w:szCs w:val="21"/>
          <w:highlight w:val="none"/>
        </w:rPr>
      </w:pPr>
      <w:r>
        <w:rPr>
          <w:rFonts w:hint="eastAsia" w:ascii="宋体" w:hAnsi="宋体"/>
          <w:b/>
          <w:szCs w:val="21"/>
          <w:highlight w:val="none"/>
        </w:rPr>
        <w:t>本次审核共开具不符合项报告项；其中</w:t>
      </w:r>
      <w:r>
        <w:rPr>
          <w:rFonts w:hint="eastAsia" w:ascii="宋体" w:hAnsi="宋体"/>
          <w:b/>
          <w:szCs w:val="21"/>
          <w:highlight w:val="none"/>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highlight w:val="none"/>
        </w:rPr>
        <w:t>严重不符合</w:t>
      </w:r>
      <w:r>
        <w:rPr>
          <w:rFonts w:hint="eastAsia" w:ascii="宋体" w:hAnsi="宋体"/>
          <w:b/>
          <w:szCs w:val="21"/>
          <w:highlight w:val="none"/>
          <w:u w:val="single"/>
          <w:lang w:val="en-US" w:eastAsia="zh-CN"/>
        </w:rPr>
        <w:t>0</w:t>
      </w:r>
      <w:r>
        <w:rPr>
          <w:rFonts w:hint="eastAsia" w:ascii="宋体" w:hAnsi="宋体"/>
          <w:b/>
          <w:szCs w:val="21"/>
          <w:highlight w:val="none"/>
        </w:rPr>
        <w:t>项，一般不符合</w:t>
      </w:r>
      <w:r>
        <w:rPr>
          <w:rFonts w:hint="eastAsia" w:ascii="宋体" w:hAnsi="宋体"/>
          <w:b/>
          <w:szCs w:val="21"/>
          <w:highlight w:val="none"/>
          <w:u w:val="single"/>
          <w:lang w:val="en-US" w:eastAsia="zh-CN"/>
        </w:rPr>
        <w:t>1</w:t>
      </w:r>
      <w:r>
        <w:rPr>
          <w:rFonts w:hint="eastAsia" w:ascii="宋体" w:hAnsi="宋体"/>
          <w:b/>
          <w:szCs w:val="21"/>
          <w:highlight w:val="none"/>
        </w:rPr>
        <w:t>项，观察项</w:t>
      </w:r>
      <w:r>
        <w:rPr>
          <w:rFonts w:hint="eastAsia" w:ascii="宋体" w:hAnsi="宋体"/>
          <w:b/>
          <w:szCs w:val="21"/>
          <w:highlight w:val="none"/>
          <w:u w:val="single"/>
          <w:lang w:val="en-US" w:eastAsia="zh-CN"/>
        </w:rPr>
        <w:t>0</w:t>
      </w:r>
      <w:r>
        <w:rPr>
          <w:rFonts w:hint="eastAsia" w:ascii="宋体" w:hAnsi="宋体"/>
          <w:b/>
          <w:szCs w:val="21"/>
          <w:highlight w:val="none"/>
        </w:rPr>
        <w:t>项分布在</w:t>
      </w:r>
      <w:r>
        <w:rPr>
          <w:rFonts w:hint="eastAsia" w:ascii="宋体" w:hAnsi="宋体"/>
          <w:b/>
          <w:szCs w:val="21"/>
          <w:highlight w:val="none"/>
          <w:u w:val="single"/>
          <w:lang w:eastAsia="zh-CN"/>
        </w:rPr>
        <w:t>综合</w:t>
      </w:r>
      <w:r>
        <w:rPr>
          <w:rFonts w:hint="eastAsia" w:ascii="宋体" w:hAnsi="宋体"/>
          <w:b/>
          <w:szCs w:val="21"/>
          <w:highlight w:val="none"/>
          <w:u w:val="single"/>
          <w:lang w:val="en-US" w:eastAsia="zh-CN"/>
        </w:rPr>
        <w:t>办</w:t>
      </w:r>
      <w:r>
        <w:rPr>
          <w:rFonts w:hint="eastAsia" w:ascii="宋体" w:hAnsi="宋体"/>
          <w:b/>
          <w:szCs w:val="21"/>
          <w:highlight w:val="none"/>
        </w:rPr>
        <w:t>部门</w:t>
      </w:r>
      <w:r>
        <w:rPr>
          <w:rFonts w:hint="eastAsia" w:ascii="宋体" w:hAnsi="宋体"/>
          <w:b/>
          <w:szCs w:val="21"/>
          <w:highlight w:val="none"/>
          <w:u w:val="single"/>
          <w:lang w:val="en-US" w:eastAsia="zh-CN"/>
        </w:rPr>
        <w:t>9.1.3</w:t>
      </w:r>
      <w:r>
        <w:rPr>
          <w:rFonts w:hint="eastAsia" w:ascii="宋体" w:hAnsi="宋体"/>
          <w:b/>
          <w:szCs w:val="21"/>
          <w:highlight w:val="none"/>
        </w:rPr>
        <w:t>条款，见不符合项分布表。（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highlight w:val="none"/>
        </w:rPr>
      </w:pPr>
      <w:r>
        <w:rPr>
          <w:rFonts w:hint="eastAsia"/>
          <w:b/>
          <w:sz w:val="26"/>
          <w:szCs w:val="26"/>
          <w:highlight w:val="none"/>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4"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703296" behindDoc="0" locked="0" layoutInCell="1" allowOverlap="1">
            <wp:simplePos x="0" y="0"/>
            <wp:positionH relativeFrom="column">
              <wp:posOffset>1753235</wp:posOffset>
            </wp:positionH>
            <wp:positionV relativeFrom="paragraph">
              <wp:posOffset>229870</wp:posOffset>
            </wp:positionV>
            <wp:extent cx="422910" cy="320040"/>
            <wp:effectExtent l="0" t="0" r="3810" b="0"/>
            <wp:wrapNone/>
            <wp:docPr id="1"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sz w:val="24"/>
        </w:rPr>
        <w:drawing>
          <wp:anchor distT="0" distB="0" distL="114300" distR="114300" simplePos="0" relativeHeight="251702272" behindDoc="0" locked="0" layoutInCell="1" allowOverlap="1">
            <wp:simplePos x="0" y="0"/>
            <wp:positionH relativeFrom="column">
              <wp:posOffset>1691005</wp:posOffset>
            </wp:positionH>
            <wp:positionV relativeFrom="paragraph">
              <wp:posOffset>19685</wp:posOffset>
            </wp:positionV>
            <wp:extent cx="590550" cy="426720"/>
            <wp:effectExtent l="0" t="0" r="3810"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7"/>
                    <a:stretch>
                      <a:fillRect/>
                    </a:stretch>
                  </pic:blipFill>
                  <pic:spPr>
                    <a:xfrm>
                      <a:off x="0" y="0"/>
                      <a:ext cx="590550" cy="42672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2021.01.21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rPr>
          <w:rFonts w:hint="eastAsia"/>
          <w:lang w:eastAsia="zh-CN"/>
        </w:rPr>
      </w:pPr>
    </w:p>
    <w:p>
      <w:pPr>
        <w:tabs>
          <w:tab w:val="left" w:pos="6880"/>
          <w:tab w:val="left" w:pos="7740"/>
          <w:tab w:val="left" w:pos="8385"/>
        </w:tabs>
        <w:snapToGrid w:val="0"/>
        <w:spacing w:before="163" w:beforeLines="50"/>
        <w:ind w:firstLine="758" w:firstLineChars="343"/>
        <w:rPr>
          <w:b/>
          <w:sz w:val="21"/>
          <w:szCs w:val="21"/>
          <w:u w:val="single"/>
        </w:rPr>
      </w:pPr>
      <w:r>
        <w:rPr>
          <w:rFonts w:hint="eastAsia"/>
          <w:b/>
          <w:sz w:val="22"/>
          <w:szCs w:val="22"/>
        </w:rPr>
        <w:drawing>
          <wp:anchor distT="0" distB="0" distL="114300" distR="114300" simplePos="0" relativeHeight="251749376" behindDoc="0" locked="0" layoutInCell="1" allowOverlap="1">
            <wp:simplePos x="0" y="0"/>
            <wp:positionH relativeFrom="column">
              <wp:posOffset>1283970</wp:posOffset>
            </wp:positionH>
            <wp:positionV relativeFrom="paragraph">
              <wp:posOffset>1905</wp:posOffset>
            </wp:positionV>
            <wp:extent cx="422910" cy="320040"/>
            <wp:effectExtent l="0" t="0" r="3810" b="0"/>
            <wp:wrapNone/>
            <wp:docPr id="3"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EF2376"/>
    <w:multiLevelType w:val="singleLevel"/>
    <w:tmpl w:val="B8EF2376"/>
    <w:lvl w:ilvl="0" w:tentative="0">
      <w:start w:val="6"/>
      <w:numFmt w:val="chineseCounting"/>
      <w:suff w:val="nothing"/>
      <w:lvlText w:val="%1、"/>
      <w:lvlJc w:val="left"/>
      <w:rPr>
        <w:rFonts w:hint="eastAsia"/>
      </w:rPr>
    </w:lvl>
  </w:abstractNum>
  <w:abstractNum w:abstractNumId="1">
    <w:nsid w:val="DBCCE1CE"/>
    <w:multiLevelType w:val="singleLevel"/>
    <w:tmpl w:val="DBCCE1CE"/>
    <w:lvl w:ilvl="0" w:tentative="0">
      <w:start w:val="3"/>
      <w:numFmt w:val="decimal"/>
      <w:suff w:val="space"/>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172F8E"/>
    <w:rsid w:val="111E46A7"/>
    <w:rsid w:val="62B4503D"/>
    <w:rsid w:val="71113FEA"/>
    <w:rsid w:val="7BC269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locked/>
    <w:uiPriority w:val="99"/>
    <w:rPr>
      <w:rFonts w:ascii="Times New Roman" w:hAnsi="Times New Roman" w:eastAsia="宋体" w:cs="Times New Roman"/>
      <w:sz w:val="18"/>
      <w:szCs w:val="18"/>
    </w:rPr>
  </w:style>
  <w:style w:type="character" w:customStyle="1" w:styleId="12">
    <w:name w:val="页眉 Char"/>
    <w:link w:val="5"/>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2021-01-21T07:54:55Z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