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成都派蒂斯科技有限公司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left="-836" w:leftChars="-400" w:hanging="4" w:firstLineChars="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成都派蒂斯科技有限公司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成都市成华区桃蹊路189号附3号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成都市青羊区光华南三路88号万科</w:t>
            </w:r>
            <w:r>
              <w:rPr>
                <w:rFonts w:hint="eastAsia" w:ascii="宋体" w:hAnsi="宋体"/>
                <w:b/>
                <w:color w:val="000000" w:themeColor="text1"/>
                <w:sz w:val="20"/>
                <w:szCs w:val="20"/>
                <w:lang w:val="en-US" w:eastAsia="zh-CN"/>
              </w:rPr>
              <w:t>·</w:t>
            </w:r>
            <w:r>
              <w:rPr>
                <w:rFonts w:ascii="宋体" w:hAnsi="宋体"/>
                <w:b/>
                <w:color w:val="000000" w:themeColor="text1"/>
                <w:sz w:val="20"/>
                <w:szCs w:val="20"/>
              </w:rPr>
              <w:t>金色领域 1-836</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刘志强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028-86957604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刘志强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张玉兰</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安防设备、计算机软硬件及配件的销售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FF0000"/>
                <w:kern w:val="2"/>
                <w:sz w:val="20"/>
                <w:szCs w:val="20"/>
                <w:lang w:val="en-US" w:eastAsia="zh-CN" w:bidi="ar-SA"/>
              </w:rPr>
            </w:pPr>
            <w:r>
              <w:rPr>
                <w:rFonts w:hint="eastAsia" w:ascii="宋体" w:hAnsi="宋体"/>
                <w:b/>
                <w:color w:val="FF0000"/>
                <w:sz w:val="20"/>
                <w:szCs w:val="20"/>
              </w:rPr>
              <w:t>管理层</w:t>
            </w:r>
          </w:p>
        </w:tc>
        <w:tc>
          <w:tcPr>
            <w:tcW w:w="6804" w:type="dxa"/>
            <w:vAlign w:val="top"/>
          </w:tcPr>
          <w:p>
            <w:pPr>
              <w:jc w:val="left"/>
              <w:rPr>
                <w:rFonts w:ascii="宋体" w:hAnsi="宋体" w:eastAsia="宋体" w:cs="Times New Roman"/>
                <w:b/>
                <w:color w:val="FF0000"/>
                <w:spacing w:val="-20"/>
                <w:kern w:val="2"/>
                <w:sz w:val="20"/>
                <w:szCs w:val="20"/>
                <w:u w:val="single"/>
                <w:lang w:val="en-US" w:eastAsia="zh-CN" w:bidi="ar-SA"/>
              </w:rPr>
            </w:pPr>
            <w:r>
              <w:rPr>
                <w:rFonts w:hint="eastAsia" w:ascii="宋体" w:hAnsi="宋体"/>
                <w:b/>
                <w:color w:val="FF0000"/>
                <w:spacing w:val="-20"/>
                <w:sz w:val="20"/>
                <w:szCs w:val="20"/>
              </w:rPr>
              <w:t>方针、目标管理；；</w:t>
            </w:r>
            <w:r>
              <w:rPr>
                <w:rFonts w:hint="eastAsia" w:ascii="宋体" w:hAnsi="宋体"/>
                <w:b/>
                <w:color w:val="FF0000"/>
                <w:sz w:val="20"/>
                <w:szCs w:val="20"/>
              </w:rPr>
              <w:t>管理评审；</w:t>
            </w:r>
            <w:r>
              <w:rPr>
                <w:rFonts w:ascii="宋体" w:hAnsi="宋体"/>
                <w:b/>
                <w:color w:val="FF0000"/>
                <w:spacing w:val="-2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文件、记录控制程；</w:t>
            </w:r>
            <w:r>
              <w:rPr>
                <w:rFonts w:hint="eastAsia" w:ascii="宋体" w:hAnsi="宋体"/>
                <w:b/>
                <w:sz w:val="20"/>
                <w:szCs w:val="20"/>
              </w:rPr>
              <w:t>内审管理；人</w:t>
            </w:r>
            <w:r>
              <w:rPr>
                <w:rFonts w:hint="eastAsia" w:ascii="宋体" w:hAnsi="宋体"/>
                <w:b/>
                <w:color w:val="000000" w:themeColor="text1"/>
                <w:sz w:val="20"/>
                <w:szCs w:val="20"/>
              </w:rPr>
              <w:t>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业务部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安防设备、计算机软硬件及配件的销售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b/>
                <w:color w:val="000000" w:themeColor="text1"/>
                <w:sz w:val="20"/>
                <w:szCs w:val="20"/>
              </w:rPr>
              <w:t>中华人民共和国合同法、中华人民共和国劳动法、中华人民共和国安全消防法、</w:t>
            </w:r>
            <w:r>
              <w:rPr>
                <w:rFonts w:ascii="宋体" w:hAnsi="宋体"/>
                <w:b/>
                <w:color w:val="000000" w:themeColor="text1"/>
                <w:sz w:val="20"/>
                <w:szCs w:val="20"/>
              </w:rPr>
              <w:t>中华人民共和国产品质量法</w:t>
            </w:r>
            <w:r>
              <w:rPr>
                <w:rFonts w:hint="eastAsia" w:ascii="宋体" w:hAnsi="宋体"/>
                <w:b/>
                <w:color w:val="000000" w:themeColor="text1"/>
                <w:sz w:val="20"/>
                <w:szCs w:val="20"/>
              </w:rPr>
              <w:t>、中华人民共和国消费者权益法等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rPr>
              <w:t>组织对内外部因素、相关方需求和期望进行了充分的识别，策划和实施有效。组织确定了体系的边界，基本适用。管理体系8.3条款不适用</w:t>
            </w:r>
            <w:r>
              <w:rPr>
                <w:rFonts w:hint="eastAsia" w:ascii="华文楷体" w:hAnsi="华文楷体" w:eastAsia="华文楷体"/>
                <w:bCs/>
                <w:iCs/>
              </w:rPr>
              <w:t>。</w:t>
            </w:r>
            <w:r>
              <w:rPr>
                <w:rFonts w:hint="eastAsia" w:ascii="宋体" w:hAnsi="宋体" w:cs="宋体"/>
                <w:bCs/>
                <w:sz w:val="21"/>
                <w:szCs w:val="21"/>
              </w:rPr>
              <w:t>公司</w:t>
            </w:r>
            <w:r>
              <w:rPr>
                <w:rFonts w:hint="eastAsia" w:ascii="宋体" w:hAnsi="宋体" w:cs="宋体"/>
                <w:bCs/>
                <w:sz w:val="21"/>
                <w:szCs w:val="21"/>
                <w:lang w:val="en-US" w:eastAsia="zh-CN"/>
              </w:rPr>
              <w:t>只涉及安防设备、计算机软硬件及配件的销售</w:t>
            </w:r>
            <w:r>
              <w:rPr>
                <w:rFonts w:hint="eastAsia" w:ascii="宋体" w:hAnsi="宋体" w:cs="宋体"/>
                <w:bCs/>
                <w:sz w:val="21"/>
                <w:szCs w:val="21"/>
              </w:rPr>
              <w:t>,因此标准8.3条款“产品和服务的设计和开发”要求不适用</w:t>
            </w:r>
            <w:r>
              <w:rPr>
                <w:rFonts w:hint="eastAsia" w:ascii="宋体" w:hAnsi="宋体" w:cs="宋体"/>
                <w:bCs/>
                <w:sz w:val="21"/>
                <w:szCs w:val="21"/>
                <w:lang w:eastAsia="zh-CN"/>
              </w:rPr>
              <w:t>，</w:t>
            </w:r>
            <w:r>
              <w:rPr>
                <w:rFonts w:hint="eastAsia" w:ascii="宋体" w:hAnsi="宋体" w:cs="宋体"/>
                <w:bCs/>
                <w:sz w:val="21"/>
                <w:szCs w:val="21"/>
              </w:rPr>
              <w:t>公司确保不适用的质量管理体系的产品和服务的设计和开发</w:t>
            </w:r>
            <w:r>
              <w:rPr>
                <w:rFonts w:hint="eastAsia" w:ascii="宋体" w:hAnsi="宋体" w:cs="宋体"/>
                <w:bCs/>
                <w:sz w:val="21"/>
                <w:szCs w:val="21"/>
                <w:lang w:val="en-US" w:eastAsia="zh-CN"/>
              </w:rPr>
              <w:t>和生产</w:t>
            </w:r>
            <w:r>
              <w:rPr>
                <w:rFonts w:hint="eastAsia" w:ascii="宋体" w:hAnsi="宋体" w:cs="宋体"/>
                <w:bCs/>
                <w:sz w:val="21"/>
                <w:szCs w:val="21"/>
              </w:rPr>
              <w:t>要求，不影响组织确保产品和服务合格以及增强顾客满意的能力或责任。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Times New Roman" w:hAnsi="Times New Roman" w:eastAsia="宋体" w:cs="Times New Roman"/>
                <w:b/>
                <w:color w:val="000000" w:themeColor="text1"/>
                <w:kern w:val="2"/>
                <w:sz w:val="21"/>
                <w:szCs w:val="24"/>
                <w:lang w:val="en-US" w:eastAsia="zh-CN" w:bidi="ar-SA"/>
              </w:rPr>
            </w:pPr>
            <w:r>
              <w:rPr>
                <w:b/>
                <w:color w:val="000000" w:themeColor="text1"/>
                <w:sz w:val="20"/>
                <w:szCs w:val="20"/>
              </w:rPr>
              <w:t>3.</w:t>
            </w:r>
            <w:r>
              <w:rPr>
                <w:rFonts w:hint="eastAsia"/>
                <w:b/>
                <w:color w:val="000000" w:themeColor="text1"/>
                <w:sz w:val="20"/>
                <w:szCs w:val="20"/>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rPr>
              <w:t>优秀高效、守约诚信、顾客至上、持续改进</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rPr>
              <w:t>合同评审、</w:t>
            </w:r>
            <w:r>
              <w:rPr>
                <w:rFonts w:hint="eastAsia" w:ascii="宋体" w:hAnsi="宋体"/>
                <w:b/>
                <w:color w:val="000000" w:themeColor="text1"/>
                <w:sz w:val="20"/>
                <w:szCs w:val="20"/>
                <w:lang w:eastAsia="zh-CN"/>
              </w:rPr>
              <w:t>销售</w:t>
            </w:r>
            <w:r>
              <w:rPr>
                <w:rFonts w:hint="eastAsia" w:ascii="宋体" w:hAnsi="宋体"/>
                <w:b/>
                <w:color w:val="000000" w:themeColor="text1"/>
                <w:sz w:val="20"/>
                <w:szCs w:val="20"/>
              </w:rPr>
              <w:t>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销售过程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销售过程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，不适用理由：公司</w:t>
            </w:r>
            <w:r>
              <w:rPr>
                <w:rFonts w:hint="eastAsia" w:ascii="宋体" w:hAnsi="宋体"/>
                <w:b/>
                <w:color w:val="000000" w:themeColor="text1"/>
                <w:sz w:val="20"/>
                <w:szCs w:val="20"/>
                <w:lang w:val="en-US" w:eastAsia="zh-CN"/>
              </w:rPr>
              <w:t>只涉及安防设备、计算机软硬件及配件的销售</w:t>
            </w:r>
            <w:r>
              <w:rPr>
                <w:rFonts w:hint="eastAsia" w:ascii="宋体" w:hAnsi="宋体"/>
                <w:b/>
                <w:color w:val="000000" w:themeColor="text1"/>
                <w:sz w:val="20"/>
                <w:szCs w:val="20"/>
              </w:rPr>
              <w:t>,因此标准8.3条款“产品和服务的设计和开发”要求不适用</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公司确保不适用的质量管理体系的产品和服务的设计和开发</w:t>
            </w:r>
            <w:r>
              <w:rPr>
                <w:rFonts w:hint="eastAsia" w:ascii="宋体" w:hAnsi="宋体"/>
                <w:b/>
                <w:color w:val="000000" w:themeColor="text1"/>
                <w:sz w:val="20"/>
                <w:szCs w:val="20"/>
                <w:lang w:val="en-US" w:eastAsia="zh-CN"/>
              </w:rPr>
              <w:t>和生产</w:t>
            </w:r>
            <w:r>
              <w:rPr>
                <w:rFonts w:hint="eastAsia" w:ascii="宋体" w:hAnsi="宋体"/>
                <w:b/>
                <w:color w:val="000000" w:themeColor="text1"/>
                <w:sz w:val="20"/>
                <w:szCs w:val="20"/>
              </w:rPr>
              <w:t xml:space="preserve">要求，不影响组织确保产品和服务合格以及增强顾客满意的能力或责任。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文件发放</w:t>
            </w:r>
          </w:p>
          <w:p>
            <w:pPr>
              <w:pStyle w:val="11"/>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质量目标：</w:t>
            </w:r>
          </w:p>
          <w:p>
            <w:pPr>
              <w:spacing w:line="300" w:lineRule="exact"/>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1、产品一次性交付合格率98%；</w:t>
            </w:r>
          </w:p>
          <w:p>
            <w:pPr>
              <w:spacing w:line="300" w:lineRule="exact"/>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2、顾客满意度达到95分以上；</w:t>
            </w:r>
          </w:p>
          <w:p>
            <w:pPr>
              <w:spacing w:line="300" w:lineRule="exact"/>
              <w:ind w:firstLine="420" w:firstLineChars="200"/>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3、产品交付及时率98%。</w:t>
            </w:r>
          </w:p>
          <w:p>
            <w:pPr>
              <w:spacing w:line="30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eastAsia="宋体" w:cs="Times New Roman"/>
                <w:b/>
                <w:color w:val="000000" w:themeColor="text1"/>
                <w:kern w:val="2"/>
                <w:sz w:val="21"/>
                <w:szCs w:val="24"/>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w:t>
            </w:r>
            <w:r>
              <w:rPr>
                <w:rFonts w:hint="eastAsia" w:ascii="宋体" w:hAnsi="宋体" w:cs="Arial"/>
                <w:color w:val="000000" w:themeColor="text1"/>
                <w:lang w:val="en-US" w:eastAsia="zh-CN"/>
              </w:rPr>
              <w:t>020</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产品的销售</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olor w:val="000000" w:themeColor="text1"/>
                <w:szCs w:val="21"/>
              </w:rPr>
              <w:t>组织有销售办公场地约</w:t>
            </w:r>
            <w:r>
              <w:rPr>
                <w:rFonts w:hint="eastAsia" w:ascii="宋体" w:hAnsi="宋体"/>
                <w:color w:val="000000" w:themeColor="text1"/>
                <w:szCs w:val="21"/>
                <w:highlight w:val="green"/>
              </w:rPr>
              <w:t>100平方左右</w:t>
            </w:r>
            <w:r>
              <w:rPr>
                <w:rFonts w:hint="eastAsia" w:ascii="宋体" w:hAnsi="宋体"/>
                <w:color w:val="000000" w:themeColor="text1"/>
                <w:szCs w:val="21"/>
                <w:highlight w:val="green"/>
                <w:lang w:eastAsia="zh-CN"/>
              </w:rPr>
              <w:t>。</w:t>
            </w:r>
            <w:r>
              <w:rPr>
                <w:rFonts w:hint="eastAsia" w:ascii="宋体" w:hAnsi="宋体"/>
                <w:color w:val="000000" w:themeColor="text1"/>
                <w:szCs w:val="21"/>
              </w:rPr>
              <w:t>主要经营设备包括：电脑及办公设备等，可以满足产品销售需要。对设备按月方式进行点检维护保养，并实施。特种设备：无。公司未建立信息管理系统用于生产和服务。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办公室内设备布置合理，通道畅通，照明设施齐全，均配备了消防设施等设施。办公室明亮，作业场所光线较充足。每月由综合部对工作环境进行定期检查。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公司只对名称、规格型号、外观、质量证明性文件等进行验证；质量技术特性由供方提供，故公司无监视和测量设备。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销售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销售服务过程，从审核过程看，公司的产品质量管理基本受控。QMS关键工序：销售过程、特殊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ascii="Times New Roman" w:hAnsi="Times New Roman" w:eastAsia="宋体" w:cs="Times New Roman"/>
                <w:b/>
                <w:color w:val="000000" w:themeColor="text1"/>
                <w:spacing w:val="-4"/>
                <w:kern w:val="2"/>
                <w:sz w:val="20"/>
                <w:szCs w:val="20"/>
                <w:lang w:val="en-US" w:eastAsia="zh-CN" w:bidi="ar-SA"/>
              </w:rPr>
            </w:pPr>
            <w:r>
              <w:rPr>
                <w:rFonts w:hint="eastAsia"/>
                <w:b/>
                <w:color w:val="000000" w:themeColor="text1"/>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color w:val="000000"/>
                <w:szCs w:val="21"/>
                <w:lang w:val="en-US" w:eastAsia="zh-CN"/>
              </w:rPr>
              <w:t>2020年6</w:t>
            </w:r>
            <w:r>
              <w:rPr>
                <w:rFonts w:hint="eastAsia" w:ascii="宋体" w:hAnsi="宋体" w:cs="宋体"/>
                <w:color w:val="000000"/>
                <w:szCs w:val="21"/>
              </w:rPr>
              <w:t>月</w:t>
            </w:r>
            <w:r>
              <w:rPr>
                <w:rFonts w:hint="eastAsia" w:ascii="宋体" w:hAnsi="宋体" w:cs="宋体"/>
                <w:color w:val="000000"/>
                <w:szCs w:val="21"/>
                <w:lang w:val="en-US" w:eastAsia="zh-CN"/>
              </w:rPr>
              <w:t>-12月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第四季度统计</w:t>
            </w:r>
            <w:r>
              <w:rPr>
                <w:rFonts w:hint="eastAsia" w:ascii="宋体" w:hAnsi="宋体" w:cs="宋体"/>
                <w:color w:val="000000"/>
                <w:szCs w:val="21"/>
              </w:rPr>
              <w:t>满意度评价9</w:t>
            </w:r>
            <w:r>
              <w:rPr>
                <w:rFonts w:hint="eastAsia" w:ascii="宋体" w:hAnsi="宋体" w:cs="宋体"/>
                <w:color w:val="000000"/>
                <w:szCs w:val="21"/>
                <w:lang w:val="en-US" w:eastAsia="zh-CN"/>
              </w:rPr>
              <w:t>9</w:t>
            </w:r>
            <w:r>
              <w:rPr>
                <w:rFonts w:hint="eastAsia" w:ascii="宋体" w:hAnsi="宋体" w:cs="宋体"/>
                <w:color w:val="000000"/>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szCs w:val="21"/>
              </w:rPr>
              <w:t xml:space="preserve">建立有《内部审核控制程序》，规定了内审频次一年一次，内审时间：2020年 </w:t>
            </w:r>
            <w:r>
              <w:rPr>
                <w:rFonts w:hint="eastAsia"/>
                <w:szCs w:val="21"/>
                <w:lang w:val="en-US" w:eastAsia="zh-CN"/>
              </w:rPr>
              <w:t>8</w:t>
            </w:r>
            <w:r>
              <w:rPr>
                <w:rFonts w:hint="eastAsia"/>
                <w:szCs w:val="21"/>
              </w:rPr>
              <w:t xml:space="preserve">月 </w:t>
            </w:r>
            <w:r>
              <w:rPr>
                <w:rFonts w:hint="eastAsia"/>
                <w:szCs w:val="21"/>
                <w:lang w:val="en-US" w:eastAsia="zh-CN"/>
              </w:rPr>
              <w:t>2</w:t>
            </w:r>
            <w:r>
              <w:rPr>
                <w:rFonts w:hint="eastAsia"/>
                <w:szCs w:val="21"/>
              </w:rPr>
              <w:t>0日，拟定了审核实施表，明确了内审范围，内审人员经培训合格上岗，能力满足要求，未出现审核本部门情况，内审不符合项1项，涉及</w:t>
            </w:r>
            <w:r>
              <w:rPr>
                <w:rFonts w:hint="eastAsia"/>
                <w:szCs w:val="21"/>
                <w:lang w:val="en-US" w:eastAsia="zh-CN"/>
              </w:rPr>
              <w:t>综合部7.5.3</w:t>
            </w:r>
            <w:r>
              <w:rPr>
                <w:rFonts w:hint="eastAsia"/>
                <w:szCs w:val="21"/>
              </w:rPr>
              <w:t>条款，不符合事实描述查</w:t>
            </w:r>
            <w:r>
              <w:rPr>
                <w:rFonts w:hint="eastAsia"/>
                <w:szCs w:val="21"/>
                <w:lang w:eastAsia="zh-CN"/>
              </w:rPr>
              <w:t>外来文件清单“版本”一栏为空白。</w:t>
            </w:r>
            <w:r>
              <w:rPr>
                <w:rFonts w:hint="eastAsia"/>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Cs w:val="21"/>
              </w:rPr>
              <w:t>管理评审频次为一年一次、本次管理评审于2020年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Times New Roman" w:hAnsi="Times New Roman"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ascii="Times New Roman" w:hAnsi="Times New Roman" w:eastAsia="宋体" w:cs="Times New Roman"/>
                <w:b/>
                <w:color w:val="000000" w:themeColor="text1"/>
                <w:kern w:val="2"/>
                <w:sz w:val="20"/>
                <w:szCs w:val="20"/>
                <w:lang w:val="en-US" w:eastAsia="zh-CN" w:bidi="ar-SA"/>
              </w:rPr>
            </w:pPr>
            <w:r>
              <w:rPr>
                <w:rFonts w:hint="eastAsia" w:cs="Times New Roman"/>
                <w:b/>
                <w:color w:val="000000" w:themeColor="text1"/>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rFonts w:ascii="Times New Roman" w:hAnsi="Times New Roman" w:eastAsia="宋体" w:cs="Times New Roman"/>
                <w:b/>
                <w:color w:val="000000" w:themeColor="text1"/>
                <w:spacing w:val="-20"/>
                <w:kern w:val="2"/>
                <w:sz w:val="20"/>
                <w:szCs w:val="20"/>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 xml:space="preserve">    </w:t>
      </w:r>
      <w:r>
        <w:rPr>
          <w:rFonts w:hint="eastAsia"/>
          <w:b/>
          <w:color w:val="000000" w:themeColor="text1"/>
        </w:rPr>
        <w:t>项，一般不符合</w:t>
      </w:r>
      <w:r>
        <w:rPr>
          <w:rFonts w:hint="eastAsia"/>
          <w:b/>
          <w:color w:val="000000" w:themeColor="text1"/>
          <w:lang w:val="en-US" w:eastAsia="zh-CN"/>
        </w:rPr>
        <w:t xml:space="preserve">   </w:t>
      </w:r>
      <w:r>
        <w:rPr>
          <w:rFonts w:hint="eastAsia"/>
          <w:b/>
          <w:color w:val="000000" w:themeColor="text1"/>
        </w:rPr>
        <w:t>项，观察项</w:t>
      </w:r>
      <w:r>
        <w:rPr>
          <w:rFonts w:hint="eastAsia"/>
          <w:b/>
          <w:color w:val="000000" w:themeColor="text1"/>
          <w:lang w:val="en-US" w:eastAsia="zh-CN"/>
        </w:rPr>
        <w:t xml:space="preserve">   </w:t>
      </w:r>
      <w:r>
        <w:rPr>
          <w:rFonts w:hint="eastAsia"/>
          <w:b/>
          <w:color w:val="000000" w:themeColor="text1"/>
        </w:rPr>
        <w:t>项分布在</w:t>
      </w:r>
      <w:r>
        <w:rPr>
          <w:rFonts w:hint="eastAsia"/>
          <w:b/>
          <w:color w:val="000000" w:themeColor="text1"/>
          <w:lang w:val="en-US" w:eastAsia="zh-CN"/>
        </w:rPr>
        <w:t xml:space="preserve">    </w:t>
      </w:r>
      <w:r>
        <w:rPr>
          <w:rFonts w:hint="eastAsia"/>
          <w:b/>
          <w:color w:val="000000" w:themeColor="text1"/>
        </w:rPr>
        <w:t>部门</w:t>
      </w:r>
      <w:r>
        <w:rPr>
          <w:rFonts w:hint="eastAsia"/>
          <w:b/>
          <w:color w:val="000000" w:themeColor="text1"/>
          <w:lang w:val="en-US" w:eastAsia="zh-CN"/>
        </w:rPr>
        <w:t xml:space="preserve">     </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ascii="宋体" w:hAnsi="宋体"/>
                <w:b/>
                <w:color w:val="000000" w:themeColor="text1"/>
                <w:sz w:val="20"/>
                <w:szCs w:val="20"/>
              </w:rPr>
              <w:t>安防设备、计算机软硬件及配件的销售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1663065</wp:posOffset>
            </wp:positionH>
            <wp:positionV relativeFrom="paragraph">
              <wp:posOffset>342265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114300" distR="114300" simplePos="0" relativeHeight="251680768" behindDoc="0" locked="0" layoutInCell="1" allowOverlap="1">
            <wp:simplePos x="0" y="0"/>
            <wp:positionH relativeFrom="column">
              <wp:posOffset>2101850</wp:posOffset>
            </wp:positionH>
            <wp:positionV relativeFrom="paragraph">
              <wp:posOffset>119380</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71552" behindDoc="0" locked="0" layoutInCell="1" allowOverlap="1">
            <wp:simplePos x="0" y="0"/>
            <wp:positionH relativeFrom="column">
              <wp:posOffset>1529080</wp:posOffset>
            </wp:positionH>
            <wp:positionV relativeFrom="paragraph">
              <wp:posOffset>147320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eastAsia="宋体"/>
          <w:lang w:eastAsia="zh-CN"/>
        </w:rPr>
        <w:drawing>
          <wp:anchor distT="0" distB="0" distL="114300" distR="114300" simplePos="0" relativeHeight="251692032" behindDoc="0" locked="0" layoutInCell="1" allowOverlap="1">
            <wp:simplePos x="0" y="0"/>
            <wp:positionH relativeFrom="column">
              <wp:posOffset>650240</wp:posOffset>
            </wp:positionH>
            <wp:positionV relativeFrom="paragraph">
              <wp:posOffset>199390</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2021年1月24日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bookmarkStart w:id="22" w:name="_GoBack"/>
      <w:bookmarkEnd w:id="2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3421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2021-01-20T15:11:48Z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