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Theme="minorEastAsia" w:hAnsiTheme="minorEastAsia" w:eastAsiaTheme="minorEastAsia"/>
          <w:sz w:val="20"/>
        </w:rPr>
        <w:t>四川冠讯科技有限公司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985"/>
        <w:gridCol w:w="707"/>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985" w:type="dxa"/>
            <w:vAlign w:val="center"/>
          </w:tcPr>
          <w:p>
            <w:pPr>
              <w:jc w:val="center"/>
              <w:rPr>
                <w:b/>
                <w:sz w:val="21"/>
                <w:szCs w:val="21"/>
              </w:rPr>
            </w:pPr>
            <w:r>
              <w:rPr>
                <w:rFonts w:hint="eastAsia"/>
                <w:b/>
                <w:sz w:val="21"/>
                <w:szCs w:val="21"/>
              </w:rPr>
              <w:t>审核员注册号</w:t>
            </w:r>
          </w:p>
        </w:tc>
        <w:tc>
          <w:tcPr>
            <w:tcW w:w="1442"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985" w:type="dxa"/>
            <w:vAlign w:val="center"/>
          </w:tcPr>
          <w:p>
            <w:pPr>
              <w:jc w:val="center"/>
              <w:rPr>
                <w:b/>
                <w:sz w:val="21"/>
                <w:szCs w:val="21"/>
              </w:rPr>
            </w:pPr>
            <w:r>
              <w:rPr>
                <w:b/>
                <w:sz w:val="21"/>
                <w:szCs w:val="21"/>
              </w:rPr>
              <w:t>2019-N1QMS-3093566</w:t>
            </w:r>
          </w:p>
        </w:tc>
        <w:tc>
          <w:tcPr>
            <w:tcW w:w="1442" w:type="dxa"/>
            <w:gridSpan w:val="2"/>
            <w:vAlign w:val="center"/>
          </w:tcPr>
          <w:p>
            <w:pPr>
              <w:jc w:val="center"/>
              <w:rPr>
                <w:b/>
                <w:sz w:val="21"/>
                <w:szCs w:val="21"/>
              </w:rPr>
            </w:pPr>
            <w:r>
              <w:rPr>
                <w:b/>
                <w:sz w:val="21"/>
                <w:szCs w:val="21"/>
              </w:rPr>
              <w:t>33.02.04</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985" w:type="dxa"/>
            <w:vAlign w:val="center"/>
          </w:tcPr>
          <w:p>
            <w:pPr>
              <w:jc w:val="center"/>
              <w:rPr>
                <w:b/>
                <w:sz w:val="21"/>
                <w:szCs w:val="21"/>
              </w:rPr>
            </w:pPr>
            <w:r>
              <w:rPr>
                <w:b/>
                <w:sz w:val="21"/>
                <w:szCs w:val="21"/>
              </w:rPr>
              <w:t>2020-N1QMS-1262293</w:t>
            </w:r>
          </w:p>
        </w:tc>
        <w:tc>
          <w:tcPr>
            <w:tcW w:w="1442"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985" w:type="dxa"/>
          </w:tcPr>
          <w:p>
            <w:pPr>
              <w:rPr>
                <w:b/>
                <w:sz w:val="21"/>
                <w:szCs w:val="21"/>
              </w:rPr>
            </w:pPr>
          </w:p>
        </w:tc>
        <w:tc>
          <w:tcPr>
            <w:tcW w:w="14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985" w:type="dxa"/>
          </w:tcPr>
          <w:p>
            <w:pPr>
              <w:rPr>
                <w:b/>
                <w:sz w:val="21"/>
                <w:szCs w:val="21"/>
              </w:rPr>
            </w:pPr>
          </w:p>
        </w:tc>
        <w:tc>
          <w:tcPr>
            <w:tcW w:w="14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985" w:type="dxa"/>
          </w:tcPr>
          <w:p>
            <w:pPr>
              <w:rPr>
                <w:b/>
                <w:sz w:val="21"/>
                <w:szCs w:val="21"/>
              </w:rPr>
            </w:pPr>
          </w:p>
        </w:tc>
        <w:tc>
          <w:tcPr>
            <w:tcW w:w="14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11" w:name="组织名称Add"/>
            <w:r>
              <w:rPr>
                <w:rFonts w:ascii="宋体"/>
                <w:b/>
                <w:sz w:val="21"/>
              </w:rPr>
              <w:t>四川冠讯科技有限公司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ascii="宋体"/>
                <w:b/>
                <w:sz w:val="21"/>
              </w:rPr>
              <w:t>10</w:t>
            </w:r>
            <w:r>
              <w:rPr>
                <w:rFonts w:hint="eastAsia" w:ascii="宋体"/>
                <w:b/>
                <w:sz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成都市武侯区科华北路58号C 栋18层</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szCs w:val="21"/>
              </w:rPr>
            </w:pPr>
            <w:r>
              <w:rPr>
                <w:rFonts w:hint="eastAsia"/>
                <w:sz w:val="21"/>
                <w:szCs w:val="21"/>
              </w:rPr>
              <w:t>成都市武侯区二环路西一段100号财富双楠1022号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hint="eastAsia" w:ascii="宋体"/>
                <w:b/>
                <w:sz w:val="21"/>
              </w:rPr>
              <w:t>/</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解影</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18683291880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李玉</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李志刚</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2021年01月21日 上午至2021年01月21日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sz w:val="20"/>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审核范围"/>
            <w:r>
              <w:rPr>
                <w:sz w:val="20"/>
              </w:rPr>
              <w:t>通信网络维护及相关服务</w:t>
            </w:r>
            <w:bookmarkEnd w:id="23"/>
            <w:bookmarkStart w:id="24" w:name="E勾选Add1"/>
          </w:p>
          <w:p>
            <w:pPr>
              <w:spacing w:line="360" w:lineRule="exact"/>
              <w:rPr>
                <w:rFonts w:ascii="宋体" w:hAnsi="宋体"/>
                <w:b/>
                <w:sz w:val="21"/>
                <w:szCs w:val="21"/>
              </w:rPr>
            </w:pPr>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33.02.04</w:t>
            </w:r>
            <w:bookmarkEnd w:id="26"/>
          </w:p>
        </w:tc>
        <w:tc>
          <w:tcPr>
            <w:tcW w:w="1109" w:type="dxa"/>
            <w:vAlign w:val="center"/>
          </w:tcPr>
          <w:p>
            <w:pPr>
              <w:spacing w:line="260" w:lineRule="exact"/>
              <w:jc w:val="center"/>
              <w:rPr>
                <w:rFonts w:ascii="宋体" w:hAnsi="宋体"/>
                <w:b/>
                <w:color w:val="FF0000"/>
                <w:sz w:val="21"/>
                <w:szCs w:val="21"/>
              </w:rPr>
            </w:pPr>
            <w:r>
              <w:rPr>
                <w:rFonts w:hint="eastAsia" w:ascii="宋体" w:hAnsi="宋体"/>
                <w:b/>
                <w:color w:val="FF0000"/>
                <w:sz w:val="21"/>
                <w:szCs w:val="21"/>
              </w:rPr>
              <w:t>证书有</w:t>
            </w:r>
          </w:p>
          <w:p>
            <w:pPr>
              <w:spacing w:line="260" w:lineRule="exact"/>
              <w:jc w:val="center"/>
              <w:rPr>
                <w:rFonts w:ascii="宋体" w:hAnsi="宋体"/>
                <w:b/>
                <w:color w:val="FF0000"/>
                <w:sz w:val="21"/>
                <w:szCs w:val="21"/>
              </w:rPr>
            </w:pPr>
            <w:r>
              <w:rPr>
                <w:rFonts w:hint="eastAsia" w:ascii="宋体" w:hAnsi="宋体"/>
                <w:b/>
                <w:color w:val="FF0000"/>
                <w:sz w:val="21"/>
                <w:szCs w:val="21"/>
              </w:rPr>
              <w:t>效期</w:t>
            </w:r>
          </w:p>
        </w:tc>
        <w:tc>
          <w:tcPr>
            <w:tcW w:w="1618" w:type="dxa"/>
            <w:gridSpan w:val="2"/>
          </w:tcPr>
          <w:p>
            <w:pPr>
              <w:spacing w:line="260" w:lineRule="exact"/>
              <w:rPr>
                <w:rFonts w:hint="default" w:ascii="宋体" w:hAnsi="宋体" w:eastAsia="宋体"/>
                <w:b/>
                <w:color w:val="FF0000"/>
                <w:sz w:val="21"/>
                <w:szCs w:val="21"/>
                <w:lang w:val="en-US" w:eastAsia="zh-CN"/>
              </w:rPr>
            </w:pPr>
            <w:r>
              <w:rPr>
                <w:rFonts w:hint="eastAsia" w:ascii="宋体" w:hAnsi="宋体"/>
                <w:b/>
                <w:color w:val="FF0000"/>
                <w:sz w:val="21"/>
                <w:szCs w:val="21"/>
                <w:lang w:val="en-US" w:eastAsia="zh-CN"/>
              </w:rPr>
              <w:t>2023-1-5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2019.12.29</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本次审核覆盖时间：从上次审核结束日的2019年12月29日至2021年1月21日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color w:val="auto"/>
          <w:sz w:val="26"/>
          <w:szCs w:val="26"/>
        </w:rPr>
      </w:pPr>
      <w:r>
        <w:rPr>
          <w:rFonts w:hint="eastAsia"/>
          <w:b/>
          <w:color w:val="auto"/>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159" w:type="dxa"/>
            <w:vMerge w:val="restart"/>
            <w:textDirection w:val="tbRlV"/>
            <w:vAlign w:val="center"/>
          </w:tcPr>
          <w:p>
            <w:pPr>
              <w:spacing w:line="240" w:lineRule="exact"/>
              <w:ind w:left="241" w:right="113" w:hanging="241" w:hangingChars="100"/>
              <w:jc w:val="center"/>
              <w:rPr>
                <w:rFonts w:ascii="宋体"/>
                <w:b/>
                <w:color w:val="auto"/>
                <w:szCs w:val="21"/>
              </w:rPr>
            </w:pPr>
            <w:r>
              <w:rPr>
                <w:rFonts w:ascii="宋体" w:hAnsi="宋体"/>
                <w:b/>
                <w:color w:val="auto"/>
                <w:szCs w:val="21"/>
              </w:rPr>
              <w:t>(</w:t>
            </w:r>
            <w:r>
              <w:rPr>
                <w:rFonts w:hint="eastAsia" w:ascii="宋体" w:hAnsi="宋体"/>
                <w:b/>
                <w:color w:val="auto"/>
                <w:szCs w:val="21"/>
              </w:rPr>
              <w:t>一</w:t>
            </w:r>
            <w:r>
              <w:rPr>
                <w:rFonts w:ascii="宋体" w:hAnsi="宋体"/>
                <w:b/>
                <w:color w:val="auto"/>
                <w:szCs w:val="21"/>
              </w:rPr>
              <w:t>)</w:t>
            </w:r>
            <w:r>
              <w:rPr>
                <w:rFonts w:hint="eastAsia" w:ascii="宋体" w:hAnsi="宋体"/>
                <w:b/>
                <w:color w:val="auto"/>
                <w:szCs w:val="21"/>
              </w:rPr>
              <w:t>策划的充分与合理性</w:t>
            </w:r>
          </w:p>
        </w:tc>
        <w:tc>
          <w:tcPr>
            <w:tcW w:w="8759" w:type="dxa"/>
          </w:tcPr>
          <w:p>
            <w:pPr>
              <w:spacing w:line="240" w:lineRule="exact"/>
              <w:rPr>
                <w:rFonts w:ascii="宋体" w:hAnsi="宋体"/>
                <w:b/>
                <w:color w:val="auto"/>
                <w:sz w:val="21"/>
                <w:szCs w:val="21"/>
              </w:rPr>
            </w:pPr>
            <w:r>
              <w:rPr>
                <w:rFonts w:ascii="宋体" w:hAnsi="宋体"/>
                <w:b/>
                <w:color w:val="auto"/>
                <w:sz w:val="21"/>
                <w:szCs w:val="21"/>
              </w:rPr>
              <w:t>1</w:t>
            </w:r>
            <w:r>
              <w:rPr>
                <w:rFonts w:hint="eastAsia" w:ascii="宋体" w:hAnsi="宋体"/>
                <w:b/>
                <w:color w:val="auto"/>
                <w:sz w:val="21"/>
                <w:szCs w:val="21"/>
              </w:rPr>
              <w:t>、组织及其环境的识别情</w:t>
            </w:r>
          </w:p>
          <w:p>
            <w:pPr>
              <w:spacing w:line="240" w:lineRule="exact"/>
              <w:ind w:firstLine="420" w:firstLineChars="200"/>
              <w:rPr>
                <w:rFonts w:ascii="宋体" w:hAnsi="宋体"/>
                <w:b/>
                <w:color w:val="auto"/>
                <w:sz w:val="21"/>
                <w:szCs w:val="21"/>
              </w:rPr>
            </w:pPr>
            <w:r>
              <w:rPr>
                <w:rFonts w:hint="eastAsia" w:ascii="宋体" w:hAnsi="宋体"/>
                <w:b w:val="0"/>
                <w:bCs/>
                <w:color w:val="auto"/>
                <w:sz w:val="21"/>
                <w:szCs w:val="21"/>
              </w:rPr>
              <w:t>组织对内外部因素、相关方需求和期望进行了充分的识别，策划和实施有效。组织确定了体系的边界，基本适用。管理体系条款8.3不适用。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1159" w:type="dxa"/>
            <w:vMerge w:val="continue"/>
            <w:textDirection w:val="tbRlV"/>
            <w:vAlign w:val="center"/>
          </w:tcPr>
          <w:p>
            <w:pPr>
              <w:spacing w:line="240" w:lineRule="exact"/>
              <w:ind w:left="241" w:right="113" w:hanging="241" w:hangingChars="100"/>
              <w:jc w:val="center"/>
              <w:rPr>
                <w:rFonts w:ascii="宋体"/>
                <w:b/>
                <w:color w:val="auto"/>
                <w:szCs w:val="21"/>
              </w:rPr>
            </w:pPr>
          </w:p>
        </w:tc>
        <w:tc>
          <w:tcPr>
            <w:tcW w:w="8759" w:type="dxa"/>
          </w:tcPr>
          <w:p>
            <w:pPr>
              <w:numPr>
                <w:ilvl w:val="0"/>
                <w:numId w:val="1"/>
              </w:numPr>
              <w:spacing w:line="240" w:lineRule="exact"/>
              <w:rPr>
                <w:rFonts w:ascii="宋体" w:hAnsi="宋体"/>
                <w:b/>
                <w:color w:val="auto"/>
                <w:sz w:val="21"/>
                <w:szCs w:val="21"/>
              </w:rPr>
            </w:pPr>
            <w:r>
              <w:rPr>
                <w:rFonts w:hint="eastAsia" w:ascii="宋体" w:hAnsi="宋体"/>
                <w:b/>
                <w:color w:val="auto"/>
                <w:sz w:val="21"/>
                <w:szCs w:val="21"/>
              </w:rPr>
              <w:t>相关方需求和期望识别情况</w:t>
            </w:r>
          </w:p>
          <w:p>
            <w:pPr>
              <w:spacing w:line="240" w:lineRule="exact"/>
              <w:ind w:firstLine="420" w:firstLineChars="200"/>
              <w:rPr>
                <w:rFonts w:ascii="宋体" w:hAnsi="宋体"/>
                <w:b/>
                <w:color w:val="auto"/>
                <w:sz w:val="21"/>
                <w:szCs w:val="21"/>
              </w:rPr>
            </w:pPr>
            <w:r>
              <w:rPr>
                <w:rFonts w:hint="eastAsia" w:ascii="宋体" w:hAnsi="宋体" w:cs="宋体"/>
                <w:color w:val="auto"/>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2"/>
              </w:numPr>
              <w:spacing w:line="280" w:lineRule="exac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ascii="宋体" w:hAnsi="宋体"/>
                <w:b/>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 w:val="21"/>
                <w:szCs w:val="21"/>
              </w:rPr>
              <w:t>质量方针</w:t>
            </w:r>
            <w:r>
              <w:rPr>
                <w:rFonts w:hint="eastAsia" w:ascii="宋体" w:hAnsi="宋体"/>
                <w:sz w:val="21"/>
                <w:szCs w:val="21"/>
                <w:lang w:eastAsia="zh-CN"/>
              </w:rPr>
              <w:t>：</w:t>
            </w:r>
            <w:r>
              <w:rPr>
                <w:rFonts w:hint="eastAsia" w:ascii="Calibri" w:hAnsi="宋体" w:cs="Times New Roman"/>
                <w:color w:val="000000"/>
                <w:sz w:val="21"/>
                <w:szCs w:val="21"/>
                <w:lang w:val="en-US" w:eastAsia="zh-CN"/>
              </w:rPr>
              <w:t>优秀高效</w:t>
            </w:r>
            <w:r>
              <w:rPr>
                <w:rFonts w:hint="eastAsia" w:ascii="Calibri" w:hAnsi="宋体" w:cs="Times New Roman"/>
                <w:color w:val="000000"/>
                <w:sz w:val="21"/>
                <w:szCs w:val="21"/>
              </w:rPr>
              <w:t>、</w:t>
            </w:r>
            <w:r>
              <w:rPr>
                <w:rFonts w:hint="eastAsia" w:ascii="Calibri" w:hAnsi="宋体" w:cs="Times New Roman"/>
                <w:color w:val="000000"/>
                <w:sz w:val="21"/>
                <w:szCs w:val="21"/>
                <w:lang w:val="en-US" w:eastAsia="zh-CN"/>
              </w:rPr>
              <w:t>守约诚信</w:t>
            </w:r>
            <w:r>
              <w:rPr>
                <w:rFonts w:hint="eastAsia" w:ascii="Calibri" w:hAnsi="宋体" w:cs="Times New Roman"/>
                <w:color w:val="000000"/>
                <w:sz w:val="21"/>
                <w:szCs w:val="21"/>
              </w:rPr>
              <w:t>、</w:t>
            </w:r>
            <w:r>
              <w:rPr>
                <w:rFonts w:hint="eastAsia" w:ascii="Calibri" w:hAnsi="宋体" w:cs="Times New Roman"/>
                <w:color w:val="000000"/>
                <w:sz w:val="21"/>
                <w:szCs w:val="21"/>
                <w:lang w:val="en-US" w:eastAsia="zh-CN"/>
              </w:rPr>
              <w:t>顾客至上</w:t>
            </w:r>
            <w:r>
              <w:rPr>
                <w:rFonts w:hint="eastAsia" w:ascii="Calibri" w:hAnsi="宋体" w:cs="Times New Roman"/>
                <w:color w:val="000000"/>
                <w:sz w:val="21"/>
                <w:szCs w:val="21"/>
              </w:rPr>
              <w:t>、持续改进</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numId w:val="0"/>
              </w:numPr>
              <w:spacing w:line="280" w:lineRule="exact"/>
              <w:rPr>
                <w:rFonts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159" w:type="dxa"/>
            <w:vMerge w:val="continue"/>
            <w:vAlign w:val="center"/>
          </w:tcPr>
          <w:p>
            <w:pPr>
              <w:spacing w:line="240" w:lineRule="exact"/>
              <w:jc w:val="center"/>
              <w:rPr>
                <w:b/>
                <w:sz w:val="20"/>
              </w:rPr>
            </w:pPr>
          </w:p>
        </w:tc>
        <w:tc>
          <w:tcPr>
            <w:tcW w:w="8759" w:type="dxa"/>
          </w:tcPr>
          <w:p>
            <w:pPr>
              <w:keepNext w:val="0"/>
              <w:keepLines w:val="0"/>
              <w:pageBreakBefore w:val="0"/>
              <w:kinsoku/>
              <w:wordWrap/>
              <w:overflowPunct/>
              <w:topLinePunct w:val="0"/>
              <w:autoSpaceDE/>
              <w:autoSpaceDN/>
              <w:bidi w:val="0"/>
              <w:spacing w:line="240" w:lineRule="auto"/>
              <w:textAlignment w:val="auto"/>
              <w:rPr>
                <w:rFonts w:ascii="宋体" w:hAnsi="宋体"/>
                <w:b/>
                <w:sz w:val="21"/>
                <w:szCs w:val="21"/>
              </w:rPr>
            </w:pPr>
            <w:r>
              <w:rPr>
                <w:rFonts w:ascii="宋体" w:hAnsi="宋体"/>
                <w:b/>
                <w:sz w:val="21"/>
                <w:szCs w:val="21"/>
              </w:rPr>
              <w:t>5.QMS</w:t>
            </w:r>
            <w:r>
              <w:rPr>
                <w:rFonts w:hint="eastAsia" w:ascii="宋体" w:hAnsi="宋体"/>
                <w:b/>
                <w:sz w:val="21"/>
                <w:szCs w:val="21"/>
              </w:rPr>
              <w:t>过程</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1"/>
                <w:szCs w:val="21"/>
              </w:rPr>
              <w:t>合同评审、</w:t>
            </w:r>
            <w:r>
              <w:rPr>
                <w:rFonts w:hint="eastAsia" w:ascii="宋体" w:hAnsi="宋体"/>
                <w:b/>
                <w:color w:val="000000" w:themeColor="text1"/>
                <w:sz w:val="21"/>
                <w:szCs w:val="21"/>
                <w:lang w:eastAsia="zh-CN"/>
              </w:rPr>
              <w:t>服务</w:t>
            </w:r>
            <w:r>
              <w:rPr>
                <w:rFonts w:hint="eastAsia" w:ascii="宋体" w:hAnsi="宋体"/>
                <w:b/>
                <w:color w:val="000000" w:themeColor="text1"/>
                <w:sz w:val="21"/>
                <w:szCs w:val="21"/>
              </w:rPr>
              <w:t>管理过程。</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1"/>
                <w:szCs w:val="21"/>
              </w:rPr>
            </w:pPr>
            <w:r>
              <w:rPr>
                <w:rFonts w:hint="eastAsia" w:ascii="宋体" w:hAnsi="宋体"/>
                <w:b/>
                <w:sz w:val="21"/>
                <w:szCs w:val="21"/>
              </w:rPr>
              <w:t>其中关键过程有：</w:t>
            </w:r>
            <w:r>
              <w:rPr>
                <w:rFonts w:hint="eastAsia" w:ascii="宋体" w:hAnsi="宋体"/>
                <w:b/>
                <w:color w:val="000000" w:themeColor="text1"/>
                <w:sz w:val="21"/>
                <w:szCs w:val="21"/>
                <w:lang w:eastAsia="zh-CN"/>
              </w:rPr>
              <w:t>通信网络维护</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autoSpaceDE/>
              <w:autoSpaceDN/>
              <w:bidi w:val="0"/>
              <w:spacing w:line="240" w:lineRule="auto"/>
              <w:ind w:left="211" w:hanging="211" w:hangingChars="100"/>
              <w:textAlignment w:val="auto"/>
              <w:rPr>
                <w:rFonts w:ascii="宋体" w:hAnsi="宋体"/>
                <w:b/>
                <w:sz w:val="21"/>
                <w:szCs w:val="21"/>
              </w:rPr>
            </w:pPr>
            <w:r>
              <w:rPr>
                <w:rFonts w:hint="eastAsia" w:ascii="宋体" w:hAnsi="宋体"/>
                <w:b/>
                <w:sz w:val="21"/>
                <w:szCs w:val="21"/>
              </w:rPr>
              <w:t>需要确认过程：无</w:t>
            </w:r>
          </w:p>
          <w:p>
            <w:pPr>
              <w:keepNext w:val="0"/>
              <w:keepLines w:val="0"/>
              <w:pageBreakBefore w:val="0"/>
              <w:kinsoku/>
              <w:wordWrap/>
              <w:overflowPunct/>
              <w:topLinePunct w:val="0"/>
              <w:autoSpaceDE/>
              <w:autoSpaceDN/>
              <w:bidi w:val="0"/>
              <w:spacing w:line="240" w:lineRule="auto"/>
              <w:textAlignment w:val="auto"/>
              <w:rPr>
                <w:rFonts w:ascii="宋体" w:hAnsi="宋体"/>
                <w:b/>
                <w:sz w:val="21"/>
                <w:szCs w:val="21"/>
              </w:rPr>
            </w:pPr>
            <w:r>
              <w:rPr>
                <w:rFonts w:hint="eastAsia" w:ascii="宋体" w:hAnsi="宋体"/>
                <w:b/>
                <w:sz w:val="21"/>
                <w:szCs w:val="21"/>
              </w:rPr>
              <w:t xml:space="preserve">删减条款是，8.3      </w:t>
            </w:r>
          </w:p>
          <w:p>
            <w:pPr>
              <w:pStyle w:val="5"/>
              <w:keepNext w:val="0"/>
              <w:keepLines w:val="0"/>
              <w:pageBreakBefore w:val="0"/>
              <w:kinsoku/>
              <w:wordWrap/>
              <w:overflowPunct/>
              <w:topLinePunct w:val="0"/>
              <w:autoSpaceDE/>
              <w:autoSpaceDN/>
              <w:bidi w:val="0"/>
              <w:spacing w:before="0" w:beforeAutospacing="0" w:after="0" w:afterAutospacing="0" w:line="240" w:lineRule="auto"/>
              <w:ind w:firstLine="422" w:firstLineChars="200"/>
              <w:textAlignment w:val="auto"/>
              <w:rPr>
                <w:rFonts w:ascii="宋体" w:hAnsi="宋体"/>
                <w:b/>
                <w:sz w:val="21"/>
                <w:szCs w:val="21"/>
              </w:rPr>
            </w:pPr>
            <w:r>
              <w:rPr>
                <w:rFonts w:hint="eastAsia" w:ascii="宋体" w:hAnsi="宋体"/>
                <w:b/>
                <w:sz w:val="21"/>
                <w:szCs w:val="21"/>
              </w:rPr>
              <w:t>删减理由：</w:t>
            </w:r>
            <w:r>
              <w:rPr>
                <w:rFonts w:hint="eastAsia"/>
                <w:spacing w:val="20"/>
                <w:sz w:val="21"/>
                <w:szCs w:val="21"/>
              </w:rPr>
              <w:t>公司</w:t>
            </w:r>
            <w:r>
              <w:rPr>
                <w:rFonts w:hint="eastAsia"/>
                <w:spacing w:val="20"/>
                <w:sz w:val="21"/>
                <w:szCs w:val="21"/>
                <w:lang w:val="en-US" w:eastAsia="zh-CN"/>
              </w:rPr>
              <w:t>因网络维护模式固定，无新的维护模式</w:t>
            </w:r>
            <w:r>
              <w:rPr>
                <w:rFonts w:hint="eastAsia"/>
                <w:spacing w:val="20"/>
                <w:sz w:val="21"/>
                <w:szCs w:val="21"/>
              </w:rPr>
              <w:t>,因此标准8.3条款“产品和服务的设计和开发”要求不适用。公司确保不适用的质量管理体系的产品和服务的设计和开发要求，不影响组织确保产品和服务合格以及增强顾客满意的能力或责任。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hint="eastAsia" w:ascii="宋体" w:hAnsi="宋体" w:eastAsia="宋体" w:cs="Times New Roman"/>
                <w:b/>
                <w:szCs w:val="21"/>
              </w:rPr>
            </w:pPr>
            <w:r>
              <w:rPr>
                <w:rFonts w:hint="eastAsia" w:ascii="宋体" w:hAnsi="宋体"/>
                <w:b/>
                <w:szCs w:val="21"/>
              </w:rPr>
              <w:t>(3)法律法规的宣传方式：</w:t>
            </w:r>
            <w:r>
              <w:rPr>
                <w:rFonts w:hint="eastAsia" w:ascii="宋体" w:hAnsi="宋体"/>
                <w:b/>
                <w:color w:val="000000" w:themeColor="text1"/>
                <w:szCs w:val="21"/>
              </w:rPr>
              <w:t>培训、会议</w:t>
            </w:r>
            <w:r>
              <w:rPr>
                <w:rFonts w:hint="eastAsia" w:ascii="宋体" w:hAnsi="宋体" w:eastAsia="宋体" w:cs="Times New Roman"/>
                <w:b/>
                <w:szCs w:val="21"/>
              </w:rPr>
              <w:t>、张贴等形式。</w:t>
            </w:r>
          </w:p>
          <w:p>
            <w:pPr>
              <w:pStyle w:val="13"/>
              <w:tabs>
                <w:tab w:val="left" w:pos="540"/>
              </w:tabs>
              <w:spacing w:line="300" w:lineRule="exact"/>
              <w:ind w:firstLine="0" w:firstLineChars="0"/>
              <w:rPr>
                <w:rFonts w:ascii="宋体" w:hAnsi="宋体"/>
                <w:b/>
                <w:sz w:val="21"/>
                <w:szCs w:val="21"/>
              </w:rPr>
            </w:pPr>
            <w:r>
              <w:rPr>
                <w:rFonts w:hint="eastAsia" w:ascii="宋体" w:hAnsi="宋体" w:eastAsia="宋体" w:cs="Times New Roman"/>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宋体" w:hAnsi="宋体"/>
                <w:sz w:val="21"/>
                <w:szCs w:val="21"/>
              </w:rPr>
            </w:pPr>
            <w:r>
              <w:rPr>
                <w:rFonts w:hint="eastAsia" w:ascii="宋体" w:hAnsi="宋体"/>
                <w:sz w:val="21"/>
                <w:szCs w:val="21"/>
              </w:rPr>
              <w:t>质量目标</w:t>
            </w:r>
          </w:p>
          <w:p>
            <w:pPr>
              <w:spacing w:line="40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1、顾客反馈意见处理率100 %；</w:t>
            </w:r>
          </w:p>
          <w:p>
            <w:pPr>
              <w:spacing w:line="240" w:lineRule="exact"/>
              <w:rPr>
                <w:rFonts w:ascii="宋体" w:hAnsi="宋体"/>
                <w:b/>
                <w:sz w:val="21"/>
                <w:szCs w:val="21"/>
              </w:rPr>
            </w:pPr>
            <w:r>
              <w:rPr>
                <w:rFonts w:hint="eastAsia" w:ascii="宋体" w:hAnsi="宋体" w:cs="Times New Roman"/>
                <w:color w:val="000000"/>
                <w:sz w:val="21"/>
                <w:szCs w:val="21"/>
                <w:lang w:val="en-US" w:eastAsia="zh-CN"/>
              </w:rPr>
              <w:t>2、顾客满意度≥95%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公司按照申请认证的标准要求，建立并形成了文件化的质量、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月1</w:t>
            </w:r>
            <w:r>
              <w:rPr>
                <w:rFonts w:hint="eastAsia" w:ascii="宋体" w:hAnsi="宋体" w:cs="宋体"/>
                <w:color w:val="000000" w:themeColor="text1"/>
                <w:sz w:val="21"/>
                <w:szCs w:val="21"/>
                <w:lang w:val="en-US" w:eastAsia="zh-CN"/>
              </w:rPr>
              <w:t>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159"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8759"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ind w:firstLine="420" w:firstLineChars="200"/>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组织按管理体系需求配置了充足的人员、设施等资源，并建立维持</w:t>
            </w:r>
            <w:r>
              <w:rPr>
                <w:rFonts w:hint="eastAsia" w:ascii="宋体" w:hAnsi="宋体" w:eastAsia="宋体" w:cs="Times New Roman"/>
                <w:bCs/>
                <w:iCs/>
                <w:sz w:val="21"/>
                <w:szCs w:val="21"/>
              </w:rPr>
              <w:t>了通信网络维护及相关服务的运行环境，可以维持管理体系的正常运行。 组织识别和维护运行中所需</w:t>
            </w:r>
            <w:r>
              <w:rPr>
                <w:rFonts w:hint="eastAsia" w:ascii="宋体" w:hAnsi="宋体"/>
                <w:bCs/>
                <w:iCs/>
                <w:sz w:val="21"/>
                <w:szCs w:val="21"/>
              </w:rPr>
              <w:t>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76" w:lineRule="auto"/>
              <w:rPr>
                <w:rFonts w:ascii="宋体" w:hAnsi="宋体" w:eastAsia="宋体" w:cs="Times New Roman"/>
                <w:b/>
                <w:kern w:val="2"/>
                <w:sz w:val="21"/>
                <w:szCs w:val="21"/>
                <w:lang w:val="en-US" w:eastAsia="zh-CN" w:bidi="ar-SA"/>
              </w:rPr>
            </w:pPr>
            <w:r>
              <w:rPr>
                <w:rFonts w:hint="eastAsia" w:ascii="宋体" w:hAnsi="宋体"/>
                <w:sz w:val="21"/>
                <w:szCs w:val="21"/>
              </w:rPr>
              <w:t>办公区域面积1</w:t>
            </w:r>
            <w:r>
              <w:rPr>
                <w:rFonts w:hint="eastAsia" w:ascii="宋体" w:hAnsi="宋体"/>
                <w:sz w:val="21"/>
                <w:szCs w:val="21"/>
                <w:lang w:val="en-US" w:eastAsia="zh-CN"/>
              </w:rPr>
              <w:t>50</w:t>
            </w:r>
            <w:r>
              <w:rPr>
                <w:rFonts w:hint="eastAsia" w:ascii="宋体" w:hAnsi="宋体"/>
                <w:sz w:val="21"/>
                <w:szCs w:val="21"/>
              </w:rPr>
              <w:t>平方米左右。主要生产设备包括</w:t>
            </w:r>
            <w:r>
              <w:rPr>
                <w:rFonts w:hint="eastAsia" w:ascii="宋体" w:hAnsi="宋体" w:cs="宋体"/>
                <w:sz w:val="21"/>
                <w:szCs w:val="21"/>
              </w:rPr>
              <w:t>电脑、办公设备、投影仪</w:t>
            </w:r>
            <w:r>
              <w:rPr>
                <w:rFonts w:hint="eastAsia" w:ascii="宋体" w:hAnsi="宋体" w:cs="宋体"/>
                <w:sz w:val="21"/>
                <w:szCs w:val="21"/>
                <w:lang w:eastAsia="zh-CN"/>
              </w:rPr>
              <w:t>、通信网络维护软件（鼎力）</w:t>
            </w:r>
            <w:r>
              <w:rPr>
                <w:rFonts w:hint="eastAsia" w:ascii="宋体" w:hAnsi="宋体" w:cs="宋体"/>
                <w:sz w:val="21"/>
                <w:szCs w:val="21"/>
              </w:rPr>
              <w:t>等</w:t>
            </w:r>
            <w:r>
              <w:rPr>
                <w:rFonts w:hint="eastAsia" w:ascii="宋体" w:hAnsi="宋体"/>
                <w:sz w:val="21"/>
                <w:szCs w:val="21"/>
              </w:rPr>
              <w:t>设备，可以满足</w:t>
            </w:r>
            <w:r>
              <w:rPr>
                <w:rFonts w:hint="eastAsia" w:ascii="宋体" w:hAnsi="宋体" w:eastAsia="宋体" w:cs="Times New Roman"/>
                <w:sz w:val="21"/>
                <w:szCs w:val="21"/>
              </w:rPr>
              <w:t>通信网络维护及相关服务的需要。对设</w:t>
            </w:r>
            <w:r>
              <w:rPr>
                <w:rFonts w:hint="eastAsia" w:ascii="宋体" w:hAnsi="宋体"/>
                <w:sz w:val="21"/>
                <w:szCs w:val="21"/>
              </w:rPr>
              <w:t>备按要求维</w:t>
            </w:r>
            <w:r>
              <w:rPr>
                <w:rFonts w:hint="eastAsia" w:ascii="宋体" w:hAnsi="宋体" w:cs="宋体"/>
                <w:sz w:val="21"/>
                <w:szCs w:val="21"/>
              </w:rPr>
              <w:t>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sz w:val="21"/>
                <w:szCs w:val="21"/>
              </w:rPr>
              <w:t>作业场所及办公设备布置合理，通道畅通，照明设施齐全，均配备了消防设施等设施。</w:t>
            </w:r>
            <w:r>
              <w:rPr>
                <w:rFonts w:hint="eastAsia" w:ascii="宋体" w:hAnsi="宋体"/>
                <w:sz w:val="21"/>
                <w:szCs w:val="21"/>
                <w:lang w:eastAsia="zh-CN"/>
              </w:rPr>
              <w:t>行政部</w:t>
            </w:r>
            <w:r>
              <w:rPr>
                <w:rFonts w:hint="eastAsia" w:ascii="宋体" w:hAnsi="宋体"/>
                <w:sz w:val="21"/>
                <w:szCs w:val="21"/>
              </w:rPr>
              <w:t>、</w:t>
            </w:r>
            <w:r>
              <w:rPr>
                <w:rFonts w:hint="eastAsia" w:ascii="宋体" w:hAnsi="宋体"/>
                <w:sz w:val="21"/>
                <w:szCs w:val="21"/>
                <w:lang w:eastAsia="zh-CN"/>
              </w:rPr>
              <w:t>作业场所</w:t>
            </w:r>
            <w:r>
              <w:rPr>
                <w:rFonts w:hint="eastAsia" w:ascii="宋体" w:hAnsi="宋体"/>
                <w:sz w:val="21"/>
                <w:szCs w:val="21"/>
              </w:rPr>
              <w:t>明亮，场内光线较充足。每月由</w:t>
            </w:r>
            <w:r>
              <w:rPr>
                <w:rFonts w:hint="eastAsia" w:ascii="宋体" w:hAnsi="宋体"/>
                <w:sz w:val="21"/>
                <w:szCs w:val="21"/>
                <w:lang w:eastAsia="zh-CN"/>
              </w:rPr>
              <w:t>行政部</w:t>
            </w:r>
            <w:r>
              <w:rPr>
                <w:rFonts w:hint="eastAsia" w:ascii="宋体" w:hAnsi="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vAlign w:val="top"/>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sz w:val="21"/>
                <w:szCs w:val="21"/>
                <w:lang w:eastAsia="zh-CN"/>
              </w:rPr>
              <w:t>公</w:t>
            </w:r>
            <w:r>
              <w:rPr>
                <w:rFonts w:hint="eastAsia" w:ascii="宋体" w:hAnsi="宋体" w:cs="Times New Roman"/>
                <w:sz w:val="21"/>
                <w:szCs w:val="21"/>
                <w:lang w:eastAsia="zh-CN"/>
              </w:rPr>
              <w:t>司通信网络维护及相关服务过程中</w:t>
            </w:r>
            <w:r>
              <w:rPr>
                <w:rFonts w:hint="eastAsia" w:ascii="宋体" w:hAnsi="宋体"/>
                <w:sz w:val="21"/>
                <w:szCs w:val="21"/>
              </w:rPr>
              <w:t>主要</w:t>
            </w:r>
            <w:r>
              <w:rPr>
                <w:rFonts w:hint="eastAsia" w:ascii="宋体" w:hAnsi="宋体"/>
                <w:sz w:val="21"/>
                <w:szCs w:val="21"/>
                <w:lang w:eastAsia="zh-CN"/>
              </w:rPr>
              <w:t>使用到的</w:t>
            </w:r>
            <w:r>
              <w:rPr>
                <w:rFonts w:hint="eastAsia" w:ascii="宋体" w:hAnsi="宋体"/>
                <w:sz w:val="21"/>
                <w:szCs w:val="21"/>
              </w:rPr>
              <w:t>为</w:t>
            </w:r>
            <w:r>
              <w:rPr>
                <w:rFonts w:hint="eastAsia" w:ascii="宋体" w:hAnsi="宋体"/>
                <w:sz w:val="21"/>
                <w:szCs w:val="21"/>
                <w:lang w:eastAsia="zh-CN"/>
              </w:rPr>
              <w:t>通信网络维护服务</w:t>
            </w:r>
            <w:r>
              <w:rPr>
                <w:rFonts w:hint="eastAsia" w:ascii="宋体" w:hAnsi="宋体"/>
                <w:sz w:val="21"/>
                <w:szCs w:val="21"/>
              </w:rPr>
              <w:t>软件</w:t>
            </w:r>
            <w:r>
              <w:rPr>
                <w:rFonts w:hint="eastAsia" w:ascii="宋体" w:hAnsi="宋体"/>
                <w:sz w:val="21"/>
                <w:szCs w:val="21"/>
                <w:lang w:eastAsia="zh-CN"/>
              </w:rPr>
              <w:t>（鼎力软件）</w:t>
            </w:r>
            <w:r>
              <w:rPr>
                <w:rFonts w:hint="eastAsia" w:ascii="宋体" w:hAnsi="宋体"/>
                <w:sz w:val="21"/>
                <w:szCs w:val="21"/>
              </w:rPr>
              <w:t>及</w:t>
            </w:r>
            <w:r>
              <w:rPr>
                <w:rFonts w:hint="eastAsia" w:ascii="宋体" w:hAnsi="宋体"/>
                <w:sz w:val="21"/>
                <w:szCs w:val="21"/>
                <w:lang w:eastAsia="zh-CN"/>
              </w:rPr>
              <w:t>笔记本电脑</w:t>
            </w:r>
            <w:r>
              <w:rPr>
                <w:rFonts w:hint="eastAsia" w:ascii="宋体" w:hAnsi="宋体"/>
                <w:sz w:val="21"/>
                <w:szCs w:val="21"/>
              </w:rPr>
              <w:t>。</w:t>
            </w:r>
            <w:r>
              <w:rPr>
                <w:rFonts w:hint="eastAsia" w:ascii="宋体" w:hAnsi="宋体"/>
                <w:sz w:val="21"/>
                <w:szCs w:val="21"/>
                <w:lang w:eastAsia="zh-CN"/>
              </w:rPr>
              <w:t>故公司无监视测量设备，软件的验证</w:t>
            </w:r>
            <w:r>
              <w:rPr>
                <w:rFonts w:hint="eastAsia" w:ascii="宋体" w:hAnsi="宋体" w:cs="宋体"/>
                <w:sz w:val="21"/>
                <w:szCs w:val="21"/>
              </w:rPr>
              <w:t>均采用自己确认的方式进行控制。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1159"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8759"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3.  QMS</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1159" w:type="dxa"/>
            <w:vMerge w:val="continue"/>
            <w:vAlign w:val="center"/>
          </w:tcPr>
          <w:p>
            <w:pPr>
              <w:spacing w:line="240" w:lineRule="exact"/>
              <w:jc w:val="center"/>
              <w:rPr>
                <w:b/>
                <w:szCs w:val="21"/>
              </w:rPr>
            </w:pPr>
          </w:p>
        </w:tc>
        <w:tc>
          <w:tcPr>
            <w:tcW w:w="8759"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检验控制规定，规定了公司各管理层次和品质检测部门在各阶段对服务质量实施检查与验收的管理要求，</w:t>
            </w:r>
            <w:r>
              <w:rPr>
                <w:rFonts w:hint="eastAsia" w:ascii="宋体" w:hAnsi="宋体" w:cs="宋体"/>
                <w:color w:val="000000"/>
                <w:sz w:val="21"/>
                <w:szCs w:val="21"/>
                <w:lang w:eastAsia="zh-CN"/>
              </w:rPr>
              <w:t>服务</w:t>
            </w:r>
            <w:r>
              <w:rPr>
                <w:rFonts w:hint="eastAsia" w:ascii="宋体" w:hAnsi="宋体" w:cs="宋体"/>
                <w:color w:val="000000"/>
                <w:sz w:val="21"/>
                <w:szCs w:val="21"/>
              </w:rPr>
              <w:t>的验收工作均在</w:t>
            </w:r>
            <w:r>
              <w:rPr>
                <w:rFonts w:hint="eastAsia" w:ascii="宋体" w:hAnsi="宋体" w:cs="宋体"/>
                <w:color w:val="000000"/>
                <w:sz w:val="21"/>
                <w:szCs w:val="21"/>
                <w:lang w:eastAsia="zh-CN"/>
              </w:rPr>
              <w:t>交付</w:t>
            </w:r>
            <w:r>
              <w:rPr>
                <w:rFonts w:hint="eastAsia" w:ascii="宋体" w:hAnsi="宋体" w:cs="宋体"/>
                <w:color w:val="000000"/>
                <w:sz w:val="21"/>
                <w:szCs w:val="21"/>
              </w:rPr>
              <w:t>前予以完成。内容基本具备全面性、系统性及可操作性，范围包括：过程、最终产品。以此保证持续向顾客稳定提供稳定合格的产品</w:t>
            </w:r>
            <w:r>
              <w:rPr>
                <w:rFonts w:hint="eastAsia" w:ascii="宋体" w:hAnsi="宋体" w:cs="宋体"/>
                <w:color w:val="000000"/>
                <w:szCs w:val="21"/>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hint="eastAsia"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val="en-US" w:eastAsia="zh-CN"/>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159" w:type="dxa"/>
            <w:vMerge w:val="continue"/>
            <w:vAlign w:val="center"/>
          </w:tcPr>
          <w:p>
            <w:pPr>
              <w:spacing w:line="240" w:lineRule="exact"/>
              <w:jc w:val="center"/>
              <w:rPr>
                <w:b/>
                <w:szCs w:val="21"/>
              </w:rPr>
            </w:pPr>
          </w:p>
        </w:tc>
        <w:tc>
          <w:tcPr>
            <w:tcW w:w="8759"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Cs/>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159"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8759"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6月-12月</w:t>
            </w:r>
            <w:r>
              <w:rPr>
                <w:rFonts w:hint="eastAsia" w:ascii="宋体" w:hAnsi="宋体" w:cs="宋体"/>
                <w:color w:val="000000"/>
                <w:sz w:val="21"/>
                <w:szCs w:val="21"/>
              </w:rPr>
              <w:t>度质量目标的测量，总体已达到或超过了规定的目标值。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建立有《内部审核控制程序》，规定了内审频次一年一次，内审时间：2020年</w:t>
            </w:r>
            <w:r>
              <w:rPr>
                <w:rFonts w:hint="eastAsia" w:ascii="宋体" w:hAnsi="宋体" w:cs="宋体"/>
                <w:color w:val="000000"/>
                <w:sz w:val="21"/>
                <w:szCs w:val="21"/>
                <w:lang w:val="en-US" w:eastAsia="zh-CN"/>
              </w:rPr>
              <w:t>10</w:t>
            </w:r>
            <w:r>
              <w:rPr>
                <w:rFonts w:hint="eastAsia" w:ascii="宋体" w:hAnsi="宋体" w:cs="宋体"/>
                <w:color w:val="000000"/>
                <w:sz w:val="21"/>
                <w:szCs w:val="21"/>
              </w:rPr>
              <w:t>月</w:t>
            </w:r>
            <w:r>
              <w:rPr>
                <w:rFonts w:hint="eastAsia" w:ascii="宋体" w:hAnsi="宋体" w:cs="宋体"/>
                <w:color w:val="000000"/>
                <w:sz w:val="21"/>
                <w:szCs w:val="21"/>
                <w:lang w:val="en-US" w:eastAsia="zh-CN"/>
              </w:rPr>
              <w:t>30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行政部</w:t>
            </w:r>
            <w:r>
              <w:rPr>
                <w:rFonts w:hint="eastAsia" w:ascii="宋体" w:hAnsi="宋体" w:cs="宋体"/>
                <w:color w:val="000000"/>
                <w:sz w:val="21"/>
                <w:szCs w:val="21"/>
              </w:rPr>
              <w:t>标准</w:t>
            </w:r>
            <w:r>
              <w:rPr>
                <w:rFonts w:hint="eastAsia" w:ascii="宋体" w:hAnsi="宋体" w:cs="宋体"/>
                <w:color w:val="000000"/>
                <w:sz w:val="21"/>
                <w:szCs w:val="21"/>
                <w:lang w:val="en-US" w:eastAsia="zh-CN"/>
              </w:rPr>
              <w:t>7</w:t>
            </w:r>
            <w:r>
              <w:rPr>
                <w:rFonts w:hint="eastAsia" w:ascii="宋体" w:hAnsi="宋体" w:cs="宋体"/>
                <w:color w:val="000000"/>
                <w:sz w:val="21"/>
                <w:szCs w:val="21"/>
              </w:rPr>
              <w:t>.2条款，不符合描述为“</w:t>
            </w:r>
            <w:r>
              <w:rPr>
                <w:rFonts w:hint="eastAsia" w:ascii="宋体" w:hAnsi="宋体" w:cs="宋体"/>
                <w:color w:val="000000"/>
                <w:sz w:val="21"/>
                <w:szCs w:val="21"/>
                <w:lang w:val="en-US" w:eastAsia="zh-CN"/>
              </w:rPr>
              <w:t>行政部不能提供员工能力评价的证据</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管理评审频次为一年一次、本次管理评审于2020年</w:t>
            </w:r>
            <w:r>
              <w:rPr>
                <w:rFonts w:hint="eastAsia" w:ascii="宋体" w:hAnsi="宋体" w:cs="宋体"/>
                <w:color w:val="000000" w:themeColor="text1"/>
                <w:sz w:val="21"/>
                <w:szCs w:val="21"/>
                <w:lang w:val="en-US" w:eastAsia="zh-CN"/>
              </w:rPr>
              <w:t>11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1159" w:type="dxa"/>
            <w:vMerge w:val="continue"/>
            <w:vAlign w:val="center"/>
          </w:tcPr>
          <w:p>
            <w:pPr>
              <w:spacing w:line="240" w:lineRule="exact"/>
              <w:jc w:val="center"/>
              <w:rPr>
                <w:b/>
                <w:sz w:val="20"/>
              </w:rPr>
            </w:pPr>
          </w:p>
        </w:tc>
        <w:tc>
          <w:tcPr>
            <w:tcW w:w="8759"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159"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8759"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eastAsia="zh-CN"/>
              </w:rPr>
              <w:t>（</w:t>
            </w:r>
            <w:r>
              <w:rPr>
                <w:rFonts w:hint="eastAsia"/>
                <w:b/>
                <w:szCs w:val="21"/>
              </w:rPr>
              <w:t>7.2），经本次审核验证均整改且无类似不符合情况出现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snapToGrid w:val="0"/>
        <w:spacing w:line="360" w:lineRule="auto"/>
        <w:rPr>
          <w:rFonts w:ascii="宋体" w:hAnsi="宋体"/>
          <w:b/>
          <w:color w:val="000000" w:themeColor="text1"/>
          <w:szCs w:val="21"/>
        </w:rPr>
      </w:pPr>
      <w:r>
        <w:rPr>
          <w:rFonts w:hint="eastAsia"/>
          <w:b/>
          <w:color w:val="000000" w:themeColor="text1"/>
          <w:sz w:val="26"/>
          <w:szCs w:val="26"/>
        </w:rPr>
        <w:t>本次审核Q共开具不符合项报告</w:t>
      </w:r>
      <w:r>
        <w:rPr>
          <w:rFonts w:hint="eastAsia"/>
          <w:b/>
          <w:color w:val="000000" w:themeColor="text1"/>
          <w:sz w:val="26"/>
          <w:szCs w:val="26"/>
          <w:lang w:val="en-US" w:eastAsia="zh-CN"/>
        </w:rPr>
        <w:t>1</w:t>
      </w:r>
      <w:r>
        <w:rPr>
          <w:rFonts w:hint="eastAsia"/>
          <w:b/>
          <w:color w:val="000000" w:themeColor="text1"/>
          <w:sz w:val="26"/>
          <w:szCs w:val="26"/>
        </w:rPr>
        <w:t>项；其中</w:t>
      </w:r>
      <w:r>
        <w:rPr>
          <w:b/>
          <w:color w:val="000000" w:themeColor="text1"/>
          <w:sz w:val="26"/>
          <w:szCs w:val="26"/>
        </w:rPr>
        <w:pict>
          <v:line id="直接连接符 1" o:spid="_x0000_s1030"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1项，观察项0项。不符合项分布在管理层 部门</w:t>
      </w:r>
      <w:r>
        <w:rPr>
          <w:rFonts w:hint="eastAsia"/>
          <w:b/>
          <w:color w:val="000000" w:themeColor="text1"/>
          <w:sz w:val="26"/>
          <w:szCs w:val="26"/>
          <w:lang w:val="en-US" w:eastAsia="zh-CN"/>
        </w:rPr>
        <w:t>8.2.3</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综上所述，审核组一致认为，（四川冠讯科技有限公司）的质量管理体系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71552" behindDoc="0" locked="0" layoutInCell="1" allowOverlap="1">
            <wp:simplePos x="0" y="0"/>
            <wp:positionH relativeFrom="column">
              <wp:posOffset>1675765</wp:posOffset>
            </wp:positionH>
            <wp:positionV relativeFrom="paragraph">
              <wp:posOffset>204470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600" w:firstLineChars="250"/>
        <w:rPr>
          <w:b/>
          <w:sz w:val="21"/>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1684655</wp:posOffset>
            </wp:positionH>
            <wp:positionV relativeFrom="paragraph">
              <wp:posOffset>163195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eastAsia" w:eastAsia="宋体"/>
          <w:b/>
          <w:sz w:val="21"/>
          <w:lang w:eastAsia="zh-CN"/>
        </w:rPr>
      </w:pPr>
      <w:r>
        <w:rPr>
          <w:rFonts w:hint="eastAsia"/>
          <w:b/>
          <w:sz w:val="21"/>
        </w:rPr>
        <w:t>日期：</w:t>
      </w:r>
      <w:r>
        <w:rPr>
          <w:rFonts w:hint="eastAsia"/>
          <w:b/>
          <w:sz w:val="21"/>
          <w:lang w:eastAsia="zh-CN"/>
        </w:rPr>
        <w:t>2021年1月21日</w:t>
      </w:r>
    </w:p>
    <w:p>
      <w:pPr>
        <w:snapToGrid w:val="0"/>
        <w:spacing w:line="280" w:lineRule="exact"/>
        <w:ind w:firstLine="7830" w:firstLineChars="3000"/>
        <w:rPr>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color w:val="000000" w:themeColor="text1"/>
          <w:sz w:val="21"/>
          <w:szCs w:val="21"/>
        </w:rPr>
      </w:pPr>
      <w:r>
        <w:rPr>
          <w:rFonts w:hint="eastAsia"/>
          <w:b/>
          <w:bCs/>
          <w:color w:val="000000" w:themeColor="text1"/>
          <w:sz w:val="21"/>
          <w:szCs w:val="21"/>
        </w:rPr>
        <w:t>1.审核中发现的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 xml:space="preserve">同意保持注册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85888" behindDoc="0" locked="0" layoutInCell="1" allowOverlap="1">
            <wp:simplePos x="0" y="0"/>
            <wp:positionH relativeFrom="column">
              <wp:posOffset>1170940</wp:posOffset>
            </wp:positionH>
            <wp:positionV relativeFrom="paragraph">
              <wp:posOffset>33655</wp:posOffset>
            </wp:positionV>
            <wp:extent cx="323850" cy="335280"/>
            <wp:effectExtent l="0" t="0" r="1143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p>
    <w:p>
      <w:pPr>
        <w:snapToGrid w:val="0"/>
        <w:spacing w:line="280" w:lineRule="exact"/>
        <w:ind w:firstLine="6325" w:firstLineChars="3000"/>
        <w:rPr>
          <w:b/>
          <w:sz w:val="21"/>
        </w:rPr>
      </w:pPr>
      <w:r>
        <w:rPr>
          <w:rFonts w:hint="eastAsia"/>
          <w:b/>
          <w:sz w:val="21"/>
        </w:rPr>
        <w:t>日期：</w:t>
      </w:r>
      <w:r>
        <w:rPr>
          <w:rFonts w:hint="eastAsia"/>
          <w:b/>
          <w:sz w:val="21"/>
          <w:lang w:eastAsia="zh-CN"/>
        </w:rPr>
        <w:t>2021年1月21日</w:t>
      </w:r>
    </w:p>
    <w:p>
      <w:pPr>
        <w:snapToGrid w:val="0"/>
        <w:spacing w:line="280" w:lineRule="exact"/>
        <w:ind w:firstLine="6325" w:firstLineChars="3000"/>
        <w:rPr>
          <w:b/>
          <w:sz w:val="21"/>
        </w:rPr>
      </w:pP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bookmarkStart w:id="27" w:name="_GoBack"/>
      <w:bookmarkEnd w:id="27"/>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beforeLines="100"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D8E44AD5"/>
    <w:multiLevelType w:val="singleLevel"/>
    <w:tmpl w:val="D8E44AD5"/>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1D578D1D"/>
    <w:multiLevelType w:val="singleLevel"/>
    <w:tmpl w:val="1D578D1D"/>
    <w:lvl w:ilvl="0" w:tentative="0">
      <w:start w:val="8"/>
      <w:numFmt w:val="decimal"/>
      <w:suff w:val="space"/>
      <w:lvlText w:val="%1."/>
      <w:lvlJc w:val="left"/>
    </w:lvl>
  </w:abstractNum>
  <w:abstractNum w:abstractNumId="4">
    <w:nsid w:val="1EEBFF49"/>
    <w:multiLevelType w:val="singleLevel"/>
    <w:tmpl w:val="1EEBFF49"/>
    <w:lvl w:ilvl="0" w:tentative="0">
      <w:start w:val="2"/>
      <w:numFmt w:val="decimal"/>
      <w:lvlText w:val="%1."/>
      <w:lvlJc w:val="left"/>
      <w:pPr>
        <w:tabs>
          <w:tab w:val="left" w:pos="312"/>
        </w:tabs>
      </w:pPr>
    </w:lvl>
  </w:abstractNum>
  <w:abstractNum w:abstractNumId="5">
    <w:nsid w:val="403F5D3A"/>
    <w:multiLevelType w:val="singleLevel"/>
    <w:tmpl w:val="403F5D3A"/>
    <w:lvl w:ilvl="0" w:tentative="0">
      <w:start w:val="6"/>
      <w:numFmt w:val="decimal"/>
      <w:suff w:val="space"/>
      <w:lvlText w:val="%1."/>
      <w:lvlJc w:val="left"/>
    </w:lvl>
  </w:abstractNum>
  <w:abstractNum w:abstractNumId="6">
    <w:nsid w:val="45014024"/>
    <w:multiLevelType w:val="singleLevel"/>
    <w:tmpl w:val="45014024"/>
    <w:lvl w:ilvl="0" w:tentative="0">
      <w:start w:val="8"/>
      <w:numFmt w:val="decimal"/>
      <w:lvlText w:val="%1."/>
      <w:lvlJc w:val="left"/>
      <w:pPr>
        <w:tabs>
          <w:tab w:val="left" w:pos="312"/>
        </w:tabs>
      </w:pPr>
    </w:lvl>
  </w:abstractNum>
  <w:abstractNum w:abstractNumId="7">
    <w:nsid w:val="688C3EB5"/>
    <w:multiLevelType w:val="singleLevel"/>
    <w:tmpl w:val="688C3EB5"/>
    <w:lvl w:ilvl="0" w:tentative="0">
      <w:start w:val="2"/>
      <w:numFmt w:val="decimal"/>
      <w:suff w:val="nothing"/>
      <w:lvlText w:val="%1、"/>
      <w:lvlJc w:val="left"/>
    </w:lvl>
  </w:abstractNum>
  <w:num w:numId="1">
    <w:abstractNumId w:val="7"/>
  </w:num>
  <w:num w:numId="2">
    <w:abstractNumId w:val="1"/>
  </w:num>
  <w:num w:numId="3">
    <w:abstractNumId w:val="3"/>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7AD6"/>
    <w:rsid w:val="005F7AD6"/>
    <w:rsid w:val="00676656"/>
    <w:rsid w:val="00A2169F"/>
    <w:rsid w:val="17BE7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1177</Words>
  <Characters>6711</Characters>
  <Lines>55</Lines>
  <Paragraphs>15</Paragraphs>
  <TotalTime>1</TotalTime>
  <ScaleCrop>false</ScaleCrop>
  <LinksUpToDate>false</LinksUpToDate>
  <CharactersWithSpaces>7873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2021-01-21T03:37:45Z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