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bCs w:val="0"/>
          <w:sz w:val="24"/>
          <w:szCs w:val="24"/>
          <w:lang w:val="en-US" w:eastAsia="zh-CN"/>
        </w:rPr>
      </w:pPr>
      <w:r>
        <w:rPr>
          <w:rFonts w:hint="eastAsia"/>
          <w:b/>
          <w:bCs w:val="0"/>
          <w:sz w:val="24"/>
          <w:szCs w:val="24"/>
          <w:lang w:val="en-US" w:eastAsia="zh-CN"/>
        </w:rPr>
        <w:t>编号：</w:t>
      </w:r>
      <w:bookmarkStart w:id="0" w:name="合同编号"/>
      <w:r>
        <w:rPr>
          <w:b/>
          <w:bCs w:val="0"/>
          <w:sz w:val="24"/>
          <w:szCs w:val="24"/>
        </w:rPr>
        <w:t>0139-2019-Q/0182-2018-EO</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成都俊和科技有限公司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vAlign w:val="center"/>
          </w:tcPr>
          <w:p>
            <w:pPr>
              <w:jc w:val="center"/>
              <w:rPr>
                <w:rFonts w:hint="default" w:eastAsia="宋体"/>
                <w:b/>
                <w:color w:val="auto"/>
                <w:sz w:val="21"/>
                <w:szCs w:val="21"/>
                <w:lang w:val="en-US" w:eastAsia="zh-CN"/>
              </w:rPr>
            </w:pPr>
            <w:r>
              <w:rPr>
                <w:b/>
                <w:color w:val="auto"/>
                <w:sz w:val="21"/>
                <w:szCs w:val="21"/>
              </w:rPr>
              <w:t>杨珍全</w:t>
            </w:r>
          </w:p>
        </w:tc>
        <w:tc>
          <w:tcPr>
            <w:tcW w:w="824" w:type="dxa"/>
            <w:gridSpan w:val="2"/>
            <w:vAlign w:val="center"/>
          </w:tcPr>
          <w:p>
            <w:pPr>
              <w:jc w:val="center"/>
              <w:rPr>
                <w:b/>
                <w:color w:val="auto"/>
                <w:sz w:val="21"/>
                <w:szCs w:val="21"/>
              </w:rPr>
            </w:pPr>
            <w:r>
              <w:rPr>
                <w:b/>
                <w:color w:val="auto"/>
                <w:sz w:val="21"/>
                <w:szCs w:val="21"/>
              </w:rPr>
              <w:t>男</w:t>
            </w:r>
          </w:p>
        </w:tc>
        <w:tc>
          <w:tcPr>
            <w:tcW w:w="1559" w:type="dxa"/>
            <w:vAlign w:val="center"/>
          </w:tcPr>
          <w:p>
            <w:pPr>
              <w:jc w:val="center"/>
              <w:rPr>
                <w:b/>
                <w:color w:val="auto"/>
                <w:sz w:val="21"/>
                <w:szCs w:val="21"/>
              </w:rPr>
            </w:pPr>
            <w:r>
              <w:rPr>
                <w:b/>
                <w:color w:val="auto"/>
                <w:sz w:val="21"/>
                <w:szCs w:val="21"/>
              </w:rPr>
              <w:t>组长</w:t>
            </w:r>
          </w:p>
        </w:tc>
        <w:tc>
          <w:tcPr>
            <w:tcW w:w="1277" w:type="dxa"/>
            <w:vAlign w:val="center"/>
          </w:tcPr>
          <w:p>
            <w:pPr>
              <w:jc w:val="center"/>
              <w:rPr>
                <w:b/>
                <w:color w:val="auto"/>
                <w:sz w:val="21"/>
                <w:szCs w:val="21"/>
              </w:rPr>
            </w:pPr>
            <w:r>
              <w:rPr>
                <w:b/>
                <w:color w:val="auto"/>
                <w:sz w:val="21"/>
                <w:szCs w:val="21"/>
              </w:rPr>
              <w:t>E:审核员</w:t>
            </w:r>
          </w:p>
          <w:p>
            <w:pPr>
              <w:jc w:val="center"/>
              <w:rPr>
                <w:b/>
                <w:color w:val="auto"/>
                <w:sz w:val="21"/>
                <w:szCs w:val="21"/>
              </w:rPr>
            </w:pPr>
            <w:r>
              <w:rPr>
                <w:b/>
                <w:color w:val="auto"/>
                <w:sz w:val="21"/>
                <w:szCs w:val="21"/>
              </w:rPr>
              <w:t>O:审核员</w:t>
            </w:r>
          </w:p>
          <w:p>
            <w:pPr>
              <w:jc w:val="center"/>
              <w:rPr>
                <w:b/>
                <w:color w:val="auto"/>
                <w:sz w:val="21"/>
                <w:szCs w:val="21"/>
              </w:rPr>
            </w:pPr>
            <w:r>
              <w:rPr>
                <w:b/>
                <w:color w:val="auto"/>
                <w:sz w:val="21"/>
                <w:szCs w:val="21"/>
              </w:rPr>
              <w:t>Q:审核员</w:t>
            </w:r>
          </w:p>
        </w:tc>
        <w:tc>
          <w:tcPr>
            <w:tcW w:w="1699" w:type="dxa"/>
            <w:vAlign w:val="center"/>
          </w:tcPr>
          <w:p>
            <w:pPr>
              <w:jc w:val="center"/>
              <w:rPr>
                <w:b/>
                <w:color w:val="auto"/>
                <w:sz w:val="21"/>
                <w:szCs w:val="21"/>
              </w:rPr>
            </w:pPr>
            <w:r>
              <w:rPr>
                <w:b/>
                <w:color w:val="auto"/>
                <w:sz w:val="21"/>
                <w:szCs w:val="21"/>
              </w:rPr>
              <w:t>2018-N1EMS-1230067</w:t>
            </w:r>
          </w:p>
          <w:p>
            <w:pPr>
              <w:jc w:val="center"/>
              <w:rPr>
                <w:b/>
                <w:color w:val="auto"/>
                <w:sz w:val="21"/>
                <w:szCs w:val="21"/>
              </w:rPr>
            </w:pPr>
            <w:r>
              <w:rPr>
                <w:b/>
                <w:color w:val="auto"/>
                <w:sz w:val="21"/>
                <w:szCs w:val="21"/>
              </w:rPr>
              <w:t>2018-N1OHSMS-1230067</w:t>
            </w:r>
          </w:p>
          <w:p>
            <w:pPr>
              <w:jc w:val="center"/>
              <w:rPr>
                <w:b/>
                <w:color w:val="auto"/>
                <w:sz w:val="21"/>
                <w:szCs w:val="21"/>
              </w:rPr>
            </w:pPr>
            <w:r>
              <w:rPr>
                <w:b/>
                <w:color w:val="auto"/>
                <w:sz w:val="21"/>
                <w:szCs w:val="21"/>
              </w:rPr>
              <w:t>2018-N1QMS-1230067</w:t>
            </w:r>
          </w:p>
        </w:tc>
        <w:tc>
          <w:tcPr>
            <w:tcW w:w="1728" w:type="dxa"/>
            <w:gridSpan w:val="2"/>
            <w:vAlign w:val="center"/>
          </w:tcPr>
          <w:p>
            <w:pPr>
              <w:jc w:val="center"/>
              <w:rPr>
                <w:b/>
                <w:color w:val="auto"/>
                <w:sz w:val="21"/>
                <w:szCs w:val="21"/>
              </w:rPr>
            </w:pPr>
            <w:r>
              <w:rPr>
                <w:b/>
                <w:color w:val="auto"/>
                <w:sz w:val="21"/>
                <w:szCs w:val="21"/>
              </w:rPr>
              <w:t>E:29.10.07,29.11.05</w:t>
            </w:r>
          </w:p>
          <w:p>
            <w:pPr>
              <w:jc w:val="center"/>
              <w:rPr>
                <w:b/>
                <w:color w:val="auto"/>
                <w:sz w:val="21"/>
                <w:szCs w:val="21"/>
              </w:rPr>
            </w:pPr>
            <w:r>
              <w:rPr>
                <w:b/>
                <w:color w:val="auto"/>
                <w:sz w:val="21"/>
                <w:szCs w:val="21"/>
              </w:rPr>
              <w:t>O:29.10.07,29.11.05</w:t>
            </w:r>
          </w:p>
          <w:p>
            <w:pPr>
              <w:jc w:val="center"/>
              <w:rPr>
                <w:b/>
                <w:color w:val="auto"/>
                <w:sz w:val="21"/>
                <w:szCs w:val="21"/>
              </w:rPr>
            </w:pPr>
            <w:r>
              <w:rPr>
                <w:b/>
                <w:color w:val="auto"/>
                <w:sz w:val="21"/>
                <w:szCs w:val="21"/>
              </w:rPr>
              <w:t>Q:29.10.07,29.11.05</w:t>
            </w:r>
          </w:p>
        </w:tc>
        <w:tc>
          <w:tcPr>
            <w:tcW w:w="1729" w:type="dxa"/>
            <w:gridSpan w:val="2"/>
            <w:vAlign w:val="center"/>
          </w:tcPr>
          <w:p>
            <w:pPr>
              <w:jc w:val="center"/>
              <w:rPr>
                <w:b/>
                <w:color w:val="auto"/>
                <w:sz w:val="21"/>
                <w:szCs w:val="21"/>
              </w:rPr>
            </w:pPr>
            <w:r>
              <w:rPr>
                <w:b/>
                <w:color w:val="auto"/>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vAlign w:val="center"/>
          </w:tcPr>
          <w:p>
            <w:pPr>
              <w:jc w:val="center"/>
              <w:rPr>
                <w:b/>
                <w:color w:val="auto"/>
                <w:sz w:val="21"/>
                <w:szCs w:val="21"/>
              </w:rPr>
            </w:pPr>
            <w:r>
              <w:rPr>
                <w:b/>
                <w:color w:val="auto"/>
                <w:sz w:val="21"/>
                <w:szCs w:val="21"/>
              </w:rPr>
              <w:t>张心</w:t>
            </w:r>
          </w:p>
          <w:p>
            <w:pPr>
              <w:jc w:val="center"/>
              <w:rPr>
                <w:rFonts w:hint="default" w:eastAsia="宋体"/>
                <w:b/>
                <w:color w:val="auto"/>
                <w:sz w:val="21"/>
                <w:szCs w:val="21"/>
                <w:lang w:val="en-US" w:eastAsia="zh-CN"/>
              </w:rPr>
            </w:pPr>
          </w:p>
        </w:tc>
        <w:tc>
          <w:tcPr>
            <w:tcW w:w="824" w:type="dxa"/>
            <w:gridSpan w:val="2"/>
            <w:vAlign w:val="center"/>
          </w:tcPr>
          <w:p>
            <w:pPr>
              <w:jc w:val="center"/>
              <w:rPr>
                <w:b/>
                <w:color w:val="auto"/>
                <w:sz w:val="21"/>
                <w:szCs w:val="21"/>
              </w:rPr>
            </w:pPr>
            <w:r>
              <w:rPr>
                <w:b/>
                <w:color w:val="auto"/>
                <w:sz w:val="21"/>
                <w:szCs w:val="21"/>
              </w:rPr>
              <w:t>女</w:t>
            </w:r>
          </w:p>
        </w:tc>
        <w:tc>
          <w:tcPr>
            <w:tcW w:w="1559" w:type="dxa"/>
            <w:vAlign w:val="center"/>
          </w:tcPr>
          <w:p>
            <w:pPr>
              <w:jc w:val="center"/>
              <w:rPr>
                <w:b/>
                <w:color w:val="auto"/>
                <w:sz w:val="21"/>
                <w:szCs w:val="21"/>
              </w:rPr>
            </w:pPr>
            <w:r>
              <w:rPr>
                <w:b/>
                <w:color w:val="auto"/>
                <w:sz w:val="21"/>
                <w:szCs w:val="21"/>
              </w:rPr>
              <w:t>组员</w:t>
            </w:r>
          </w:p>
        </w:tc>
        <w:tc>
          <w:tcPr>
            <w:tcW w:w="1277" w:type="dxa"/>
            <w:vAlign w:val="center"/>
          </w:tcPr>
          <w:p>
            <w:pPr>
              <w:jc w:val="center"/>
              <w:rPr>
                <w:b/>
                <w:color w:val="auto"/>
                <w:sz w:val="21"/>
                <w:szCs w:val="21"/>
              </w:rPr>
            </w:pPr>
            <w:r>
              <w:rPr>
                <w:b/>
                <w:color w:val="auto"/>
                <w:sz w:val="21"/>
                <w:szCs w:val="21"/>
              </w:rPr>
              <w:t>E:实习审核员</w:t>
            </w:r>
          </w:p>
          <w:p>
            <w:pPr>
              <w:jc w:val="center"/>
              <w:rPr>
                <w:b/>
                <w:color w:val="auto"/>
                <w:sz w:val="21"/>
                <w:szCs w:val="21"/>
              </w:rPr>
            </w:pPr>
            <w:r>
              <w:rPr>
                <w:b/>
                <w:color w:val="auto"/>
                <w:sz w:val="21"/>
                <w:szCs w:val="21"/>
              </w:rPr>
              <w:t>Q:审核员</w:t>
            </w:r>
          </w:p>
        </w:tc>
        <w:tc>
          <w:tcPr>
            <w:tcW w:w="1699" w:type="dxa"/>
            <w:vAlign w:val="center"/>
          </w:tcPr>
          <w:p>
            <w:pPr>
              <w:jc w:val="center"/>
              <w:rPr>
                <w:b/>
                <w:color w:val="auto"/>
                <w:sz w:val="21"/>
                <w:szCs w:val="21"/>
              </w:rPr>
            </w:pPr>
            <w:r>
              <w:rPr>
                <w:b/>
                <w:color w:val="auto"/>
                <w:sz w:val="21"/>
                <w:szCs w:val="21"/>
              </w:rPr>
              <w:t>2020-N0EMS-1207381</w:t>
            </w:r>
          </w:p>
          <w:p>
            <w:pPr>
              <w:jc w:val="center"/>
              <w:rPr>
                <w:b/>
                <w:color w:val="auto"/>
                <w:sz w:val="21"/>
                <w:szCs w:val="21"/>
              </w:rPr>
            </w:pPr>
            <w:r>
              <w:rPr>
                <w:b/>
                <w:color w:val="auto"/>
                <w:sz w:val="21"/>
                <w:szCs w:val="21"/>
              </w:rPr>
              <w:t>2018-N1QMS-2207381</w:t>
            </w:r>
          </w:p>
        </w:tc>
        <w:tc>
          <w:tcPr>
            <w:tcW w:w="1728" w:type="dxa"/>
            <w:gridSpan w:val="2"/>
            <w:vAlign w:val="center"/>
          </w:tcPr>
          <w:p>
            <w:pPr>
              <w:jc w:val="center"/>
              <w:rPr>
                <w:b/>
                <w:color w:val="auto"/>
                <w:sz w:val="21"/>
                <w:szCs w:val="21"/>
              </w:rPr>
            </w:pPr>
            <w:r>
              <w:rPr>
                <w:b/>
                <w:color w:val="auto"/>
                <w:sz w:val="21"/>
                <w:szCs w:val="21"/>
              </w:rPr>
              <w:t>E:29.10.07,29.11.05</w:t>
            </w:r>
          </w:p>
          <w:p>
            <w:pPr>
              <w:jc w:val="center"/>
              <w:rPr>
                <w:b/>
                <w:color w:val="auto"/>
                <w:sz w:val="21"/>
                <w:szCs w:val="21"/>
              </w:rPr>
            </w:pPr>
            <w:r>
              <w:rPr>
                <w:b/>
                <w:color w:val="auto"/>
                <w:sz w:val="21"/>
                <w:szCs w:val="21"/>
              </w:rPr>
              <w:t>Q:29.10.07,29.11.05</w:t>
            </w:r>
          </w:p>
        </w:tc>
        <w:tc>
          <w:tcPr>
            <w:tcW w:w="1729" w:type="dxa"/>
            <w:gridSpan w:val="2"/>
            <w:vAlign w:val="center"/>
          </w:tcPr>
          <w:p>
            <w:pPr>
              <w:jc w:val="center"/>
              <w:rPr>
                <w:b/>
                <w:color w:val="auto"/>
                <w:sz w:val="21"/>
                <w:szCs w:val="21"/>
              </w:rPr>
            </w:pPr>
            <w:r>
              <w:rPr>
                <w:b/>
                <w:color w:val="auto"/>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98"/>
        <w:gridCol w:w="918"/>
        <w:gridCol w:w="1492"/>
        <w:gridCol w:w="138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08" w:type="dxa"/>
            <w:gridSpan w:val="3"/>
          </w:tcPr>
          <w:p>
            <w:pPr>
              <w:spacing w:line="260" w:lineRule="exact"/>
              <w:rPr>
                <w:rFonts w:ascii="宋体"/>
                <w:b/>
                <w:color w:val="FF0000"/>
                <w:sz w:val="21"/>
              </w:rPr>
            </w:pPr>
            <w:bookmarkStart w:id="11" w:name="组织名称Add"/>
            <w:r>
              <w:rPr>
                <w:rFonts w:ascii="宋体"/>
                <w:b/>
                <w:color w:val="auto"/>
                <w:sz w:val="21"/>
              </w:rPr>
              <w:t>成都俊和科技有限公司</w:t>
            </w:r>
            <w:bookmarkEnd w:id="11"/>
          </w:p>
        </w:tc>
        <w:tc>
          <w:tcPr>
            <w:tcW w:w="138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15，无变化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08" w:type="dxa"/>
            <w:gridSpan w:val="3"/>
          </w:tcPr>
          <w:p>
            <w:pPr>
              <w:rPr>
                <w:rFonts w:ascii="宋体"/>
                <w:b/>
                <w:sz w:val="21"/>
              </w:rPr>
            </w:pPr>
            <w:bookmarkStart w:id="12" w:name="注册地址"/>
            <w:r>
              <w:rPr>
                <w:rFonts w:ascii="宋体"/>
                <w:b/>
                <w:sz w:val="21"/>
              </w:rPr>
              <w:t>四川省成都市武侯区二环路西一段100号l幢l单元17楼13号</w:t>
            </w:r>
            <w:bookmarkEnd w:id="12"/>
          </w:p>
        </w:tc>
        <w:tc>
          <w:tcPr>
            <w:tcW w:w="1380"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08" w:type="dxa"/>
            <w:gridSpan w:val="3"/>
          </w:tcPr>
          <w:p>
            <w:pPr>
              <w:rPr>
                <w:rFonts w:ascii="宋体"/>
                <w:b/>
                <w:sz w:val="21"/>
              </w:rPr>
            </w:pPr>
            <w:bookmarkStart w:id="14" w:name="办公地址"/>
            <w:r>
              <w:rPr>
                <w:rFonts w:ascii="宋体"/>
                <w:b/>
                <w:sz w:val="21"/>
              </w:rPr>
              <w:t>四川省成都市武侯区二环路西一段100号l幢l单元17楼13号</w:t>
            </w:r>
            <w:bookmarkEnd w:id="14"/>
          </w:p>
        </w:tc>
        <w:tc>
          <w:tcPr>
            <w:tcW w:w="1380"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08" w:type="dxa"/>
            <w:gridSpan w:val="3"/>
          </w:tcPr>
          <w:p>
            <w:pPr>
              <w:rPr>
                <w:rFonts w:ascii="宋体"/>
                <w:b/>
                <w:sz w:val="21"/>
              </w:rPr>
            </w:pPr>
            <w:bookmarkStart w:id="16" w:name="生产地址Add"/>
            <w:r>
              <w:rPr>
                <w:rFonts w:ascii="宋体"/>
                <w:b/>
                <w:sz w:val="21"/>
              </w:rPr>
              <w:t>四川省成都市武侯区二环路西一段100号l幢l单元17楼13号</w:t>
            </w:r>
            <w:bookmarkEnd w:id="16"/>
          </w:p>
        </w:tc>
        <w:tc>
          <w:tcPr>
            <w:tcW w:w="1380"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98" w:type="dxa"/>
          </w:tcPr>
          <w:p>
            <w:pPr>
              <w:rPr>
                <w:rFonts w:ascii="宋体"/>
                <w:b/>
                <w:sz w:val="21"/>
              </w:rPr>
            </w:pPr>
            <w:bookmarkStart w:id="18" w:name="联系人"/>
            <w:r>
              <w:rPr>
                <w:rFonts w:ascii="宋体"/>
                <w:b/>
                <w:sz w:val="21"/>
              </w:rPr>
              <w:t>张正</w:t>
            </w:r>
            <w:bookmarkEnd w:id="18"/>
          </w:p>
        </w:tc>
        <w:tc>
          <w:tcPr>
            <w:tcW w:w="918" w:type="dxa"/>
            <w:vAlign w:val="center"/>
          </w:tcPr>
          <w:p>
            <w:pPr>
              <w:jc w:val="center"/>
              <w:rPr>
                <w:rFonts w:ascii="宋体"/>
                <w:b/>
                <w:sz w:val="21"/>
              </w:rPr>
            </w:pPr>
            <w:r>
              <w:rPr>
                <w:rFonts w:hint="eastAsia" w:ascii="宋体" w:hAnsi="宋体"/>
                <w:b/>
                <w:sz w:val="21"/>
              </w:rPr>
              <w:t>电话</w:t>
            </w:r>
            <w:r>
              <w:rPr>
                <w:b/>
                <w:sz w:val="16"/>
                <w:szCs w:val="16"/>
              </w:rPr>
              <w:t>.</w:t>
            </w:r>
          </w:p>
        </w:tc>
        <w:tc>
          <w:tcPr>
            <w:tcW w:w="1492" w:type="dxa"/>
            <w:vAlign w:val="center"/>
          </w:tcPr>
          <w:p>
            <w:pPr>
              <w:jc w:val="center"/>
              <w:rPr>
                <w:rFonts w:ascii="宋体"/>
                <w:b/>
                <w:sz w:val="21"/>
              </w:rPr>
            </w:pPr>
            <w:bookmarkStart w:id="19" w:name="联系人电话Add"/>
            <w:r>
              <w:rPr>
                <w:rFonts w:ascii="宋体"/>
                <w:b/>
                <w:sz w:val="21"/>
              </w:rPr>
              <w:t>15503232345</w:t>
            </w:r>
            <w:bookmarkEnd w:id="19"/>
          </w:p>
        </w:tc>
        <w:tc>
          <w:tcPr>
            <w:tcW w:w="1380"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98" w:type="dxa"/>
          </w:tcPr>
          <w:p>
            <w:pPr>
              <w:rPr>
                <w:rFonts w:ascii="宋体" w:hAnsi="宋体"/>
                <w:b/>
                <w:sz w:val="21"/>
                <w:szCs w:val="21"/>
              </w:rPr>
            </w:pPr>
            <w:bookmarkStart w:id="21" w:name="法人"/>
            <w:r>
              <w:rPr>
                <w:rFonts w:ascii="宋体" w:hAnsi="宋体"/>
                <w:b/>
                <w:sz w:val="21"/>
                <w:szCs w:val="21"/>
              </w:rPr>
              <w:t>周锡涛</w:t>
            </w:r>
            <w:bookmarkEnd w:id="21"/>
          </w:p>
        </w:tc>
        <w:tc>
          <w:tcPr>
            <w:tcW w:w="918" w:type="dxa"/>
            <w:vAlign w:val="center"/>
          </w:tcPr>
          <w:p>
            <w:pPr>
              <w:jc w:val="center"/>
              <w:rPr>
                <w:rFonts w:ascii="宋体" w:hAnsi="宋体"/>
                <w:b/>
                <w:sz w:val="21"/>
                <w:szCs w:val="21"/>
              </w:rPr>
            </w:pPr>
            <w:r>
              <w:rPr>
                <w:rFonts w:hint="eastAsia" w:ascii="宋体" w:hAnsi="宋体"/>
                <w:b/>
                <w:sz w:val="21"/>
                <w:szCs w:val="21"/>
              </w:rPr>
              <w:t>总经理</w:t>
            </w:r>
          </w:p>
        </w:tc>
        <w:tc>
          <w:tcPr>
            <w:tcW w:w="1492" w:type="dxa"/>
          </w:tcPr>
          <w:p>
            <w:pPr>
              <w:rPr>
                <w:rFonts w:ascii="宋体" w:hAnsi="宋体"/>
                <w:b/>
                <w:sz w:val="21"/>
                <w:szCs w:val="21"/>
              </w:rPr>
            </w:pPr>
            <w:r>
              <w:rPr>
                <w:rFonts w:ascii="宋体" w:hAnsi="宋体"/>
                <w:b/>
                <w:sz w:val="21"/>
                <w:szCs w:val="21"/>
              </w:rPr>
              <w:t>周锡涛</w:t>
            </w:r>
          </w:p>
        </w:tc>
        <w:tc>
          <w:tcPr>
            <w:tcW w:w="1380"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周锡涛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16" w:type="dxa"/>
            <w:gridSpan w:val="2"/>
            <w:vAlign w:val="center"/>
          </w:tcPr>
          <w:p>
            <w:pPr>
              <w:rPr>
                <w:rFonts w:ascii="宋体" w:hAnsi="宋体"/>
                <w:b/>
                <w:sz w:val="21"/>
                <w:szCs w:val="21"/>
              </w:rPr>
            </w:pPr>
            <w:bookmarkStart w:id="23" w:name="审核日期"/>
            <w:r>
              <w:rPr>
                <w:rFonts w:ascii="宋体" w:hAnsi="宋体"/>
                <w:b/>
                <w:sz w:val="21"/>
                <w:szCs w:val="21"/>
              </w:rPr>
              <w:t>2021年01月24日 下午至2021年01月24日 下午</w:t>
            </w:r>
            <w:bookmarkEnd w:id="23"/>
          </w:p>
        </w:tc>
        <w:tc>
          <w:tcPr>
            <w:tcW w:w="1492" w:type="dxa"/>
            <w:vAlign w:val="center"/>
          </w:tcPr>
          <w:p>
            <w:pPr>
              <w:rPr>
                <w:rFonts w:ascii="宋体" w:hAnsi="宋体"/>
                <w:b/>
                <w:sz w:val="21"/>
                <w:szCs w:val="21"/>
              </w:rPr>
            </w:pPr>
            <w:r>
              <w:rPr>
                <w:rFonts w:hint="eastAsia" w:ascii="宋体" w:hAnsi="宋体"/>
                <w:b/>
                <w:sz w:val="21"/>
                <w:szCs w:val="21"/>
              </w:rPr>
              <w:t>一体化审核</w:t>
            </w:r>
          </w:p>
        </w:tc>
        <w:tc>
          <w:tcPr>
            <w:tcW w:w="2880"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eastAsia="宋体" w:cs="宋体"/>
                <w:color w:val="000000"/>
                <w:kern w:val="0"/>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ascii="宋体" w:hAnsi="宋体" w:cs="宋体"/>
                <w:color w:val="000000"/>
                <w:kern w:val="0"/>
                <w:sz w:val="21"/>
                <w:szCs w:val="21"/>
              </w:rPr>
              <w:t>机械设备， 电气设备， 柴油发电机组，化工产品（许可范围内危险化学品）的销售</w:t>
            </w:r>
            <w:bookmarkStart w:id="25" w:name="E勾选Add1"/>
            <w:r>
              <w:rPr>
                <w:rFonts w:hint="eastAsia" w:ascii="宋体" w:hAnsi="宋体" w:cs="宋体"/>
                <w:color w:val="000000"/>
                <w:kern w:val="0"/>
                <w:sz w:val="21"/>
                <w:szCs w:val="21"/>
                <w:lang w:eastAsia="zh-CN"/>
              </w:rPr>
              <w:t>。</w:t>
            </w:r>
          </w:p>
          <w:p>
            <w:pPr>
              <w:spacing w:line="360" w:lineRule="exact"/>
              <w:rPr>
                <w:rFonts w:hint="eastAsia" w:ascii="宋体" w:hAnsi="宋体" w:eastAsia="宋体"/>
                <w:b/>
                <w:sz w:val="21"/>
                <w:szCs w:val="21"/>
                <w:lang w:eastAsia="zh-CN"/>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宋体" w:cs="宋体"/>
                <w:color w:val="000000"/>
                <w:kern w:val="0"/>
                <w:sz w:val="21"/>
                <w:szCs w:val="21"/>
              </w:rPr>
              <w:t>机械设备， 电气设备， 柴油发电机组，化工产品（许可范围内危险化学品）的销售所涉及的相关环境管理活动</w:t>
            </w:r>
            <w:r>
              <w:rPr>
                <w:rFonts w:hint="eastAsia" w:ascii="宋体" w:hAnsi="宋体" w:cs="宋体"/>
                <w:color w:val="000000"/>
                <w:kern w:val="0"/>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机械设备， 电气设备， 柴油发电机组，化工产品（许可范围内危险化学品</w:t>
            </w:r>
            <w:r>
              <w:rPr>
                <w:rFonts w:ascii="宋体" w:hAnsi="宋体"/>
                <w:sz w:val="21"/>
                <w:szCs w:val="21"/>
              </w:rPr>
              <w:t>）</w:t>
            </w:r>
            <w:r>
              <w:rPr>
                <w:rFonts w:hint="eastAsia" w:ascii="宋体" w:hAnsi="宋体"/>
                <w:sz w:val="21"/>
                <w:szCs w:val="21"/>
              </w:rPr>
              <w:t>的销售所涉及的相关</w:t>
            </w:r>
            <w:r>
              <w:rPr>
                <w:rFonts w:hint="eastAsia" w:ascii="宋体" w:cs="宋体"/>
                <w:sz w:val="21"/>
                <w:szCs w:val="21"/>
              </w:rPr>
              <w:t>健康安全管理活动</w:t>
            </w:r>
            <w:r>
              <w:rPr>
                <w:rFonts w:hint="eastAsia" w:asci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98" w:type="dxa"/>
          </w:tcPr>
          <w:p>
            <w:pPr>
              <w:spacing w:line="260" w:lineRule="exact"/>
              <w:rPr>
                <w:rFonts w:ascii="宋体" w:hAnsi="宋体"/>
                <w:b/>
                <w:sz w:val="21"/>
                <w:szCs w:val="21"/>
              </w:rPr>
            </w:pPr>
            <w:bookmarkStart w:id="27" w:name="专业代码"/>
            <w:r>
              <w:rPr>
                <w:rFonts w:ascii="宋体" w:hAnsi="宋体"/>
                <w:b/>
                <w:sz w:val="21"/>
                <w:szCs w:val="21"/>
              </w:rPr>
              <w:t>E：29.10.07;29.11.05</w:t>
            </w:r>
          </w:p>
          <w:p>
            <w:pPr>
              <w:spacing w:line="260" w:lineRule="exact"/>
              <w:rPr>
                <w:rFonts w:ascii="宋体" w:hAnsi="宋体"/>
                <w:b/>
                <w:sz w:val="21"/>
                <w:szCs w:val="21"/>
              </w:rPr>
            </w:pPr>
            <w:r>
              <w:rPr>
                <w:rFonts w:ascii="宋体" w:hAnsi="宋体"/>
                <w:b/>
                <w:sz w:val="21"/>
                <w:szCs w:val="21"/>
              </w:rPr>
              <w:t>O：29.10.07;29.11.05</w:t>
            </w:r>
          </w:p>
          <w:p>
            <w:pPr>
              <w:spacing w:line="260" w:lineRule="exact"/>
              <w:rPr>
                <w:rFonts w:ascii="宋体" w:hAnsi="宋体"/>
                <w:b/>
                <w:sz w:val="21"/>
                <w:szCs w:val="21"/>
              </w:rPr>
            </w:pPr>
            <w:r>
              <w:rPr>
                <w:rFonts w:ascii="宋体" w:hAnsi="宋体"/>
                <w:b/>
                <w:sz w:val="21"/>
                <w:szCs w:val="21"/>
              </w:rPr>
              <w:t>Q：29.10.07;29.11.05</w:t>
            </w:r>
            <w:bookmarkEnd w:id="27"/>
          </w:p>
        </w:tc>
        <w:tc>
          <w:tcPr>
            <w:tcW w:w="91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92" w:type="dxa"/>
          </w:tcPr>
          <w:p>
            <w:pPr>
              <w:spacing w:line="260" w:lineRule="exact"/>
              <w:rPr>
                <w:rFonts w:ascii="宋体" w:hAnsi="宋体"/>
                <w:b/>
                <w:sz w:val="21"/>
                <w:szCs w:val="21"/>
              </w:rPr>
            </w:pPr>
            <w:r>
              <w:rPr>
                <w:rFonts w:hint="eastAsia" w:ascii="宋体" w:hAnsi="宋体"/>
                <w:b/>
                <w:sz w:val="21"/>
                <w:szCs w:val="21"/>
              </w:rPr>
              <w:t>2022.4.22</w:t>
            </w:r>
          </w:p>
        </w:tc>
        <w:tc>
          <w:tcPr>
            <w:tcW w:w="13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2018.11.23</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uto"/>
        <w:rPr>
          <w:rFonts w:hint="eastAsia"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 2018年11月23日至202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r>
        <w:rPr>
          <w:rFonts w:hint="eastAsia" w:ascii="宋体" w:hAnsi="宋体"/>
          <w:b/>
          <w:sz w:val="21"/>
          <w:szCs w:val="21"/>
          <w:lang w:eastAsia="zh-CN"/>
        </w:rPr>
        <w:t>。</w:t>
      </w:r>
      <w:bookmarkStart w:id="28" w:name="_GoBack"/>
      <w:bookmarkEnd w:id="28"/>
    </w:p>
    <w:p>
      <w:pPr>
        <w:spacing w:line="360" w:lineRule="atLeast"/>
        <w:rPr>
          <w:rFonts w:hint="eastAsia" w:ascii="宋体" w:hAnsi="宋体" w:eastAsia="宋体"/>
          <w:b/>
          <w:sz w:val="21"/>
          <w:szCs w:val="21"/>
          <w:highlight w:val="green"/>
          <w:lang w:eastAsia="zh-CN"/>
        </w:rPr>
      </w:pP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ascii="宋体" w:hAnsi="宋体"/>
                <w:b/>
                <w:sz w:val="21"/>
                <w:szCs w:val="21"/>
              </w:rPr>
            </w:pPr>
            <w:r>
              <w:rPr>
                <w:color w:val="000000" w:themeColor="text1"/>
                <w:sz w:val="21"/>
                <w:szCs w:val="21"/>
              </w:rPr>
              <w:t>成都俊和科技有限公司</w:t>
            </w:r>
            <w:r>
              <w:rPr>
                <w:rFonts w:hint="eastAsia" w:ascii="宋体" w:hAnsi="宋体"/>
                <w:sz w:val="21"/>
                <w:szCs w:val="21"/>
              </w:rPr>
              <w:t>成立于2003年，公司办公地点位于</w:t>
            </w:r>
            <w:r>
              <w:rPr>
                <w:rFonts w:hint="eastAsia"/>
                <w:color w:val="000000" w:themeColor="text1"/>
                <w:sz w:val="21"/>
                <w:szCs w:val="21"/>
              </w:rPr>
              <w:t>四川省成都市武侯区二环路西一段100号l幢l单元17楼13号</w:t>
            </w:r>
            <w:r>
              <w:rPr>
                <w:rFonts w:hint="eastAsia" w:ascii="宋体" w:hAnsi="宋体"/>
                <w:sz w:val="21"/>
                <w:szCs w:val="21"/>
              </w:rPr>
              <w:t>，是一家专门从事</w:t>
            </w:r>
            <w:r>
              <w:rPr>
                <w:sz w:val="21"/>
                <w:szCs w:val="21"/>
              </w:rPr>
              <w:t>机械设备， 电气设备， 柴油发电机组，化工产品</w:t>
            </w:r>
            <w:r>
              <w:rPr>
                <w:rFonts w:hint="eastAsia" w:ascii="宋体" w:hAnsi="宋体"/>
                <w:sz w:val="21"/>
                <w:szCs w:val="21"/>
              </w:rPr>
              <w:t>的专业公司。现有员工数10人，经营状况良好。组织对内外部因素、相关方需求和期望进行了充分的识别，策划和</w:t>
            </w:r>
            <w:r>
              <w:rPr>
                <w:rFonts w:hint="eastAsia" w:ascii="宋体" w:hAnsi="宋体"/>
                <w:color w:val="auto"/>
                <w:sz w:val="21"/>
                <w:szCs w:val="21"/>
              </w:rPr>
              <w:t>实施有效。确定了体系的边界，基本适用。管理体系8.3不适用，</w:t>
            </w:r>
            <w:r>
              <w:rPr>
                <w:rFonts w:hint="eastAsia" w:ascii="宋体" w:hAnsi="宋体" w:cs="宋体"/>
                <w:color w:val="auto"/>
                <w:sz w:val="21"/>
                <w:szCs w:val="21"/>
              </w:rPr>
              <w:t>公司的产品均是销售给特定顾客，现阶段没有新产品和新顾客，根据公司销售服务特点,公司不提供设计新销售服务的要求</w:t>
            </w:r>
            <w:r>
              <w:rPr>
                <w:rFonts w:hint="eastAsia" w:ascii="宋体" w:hAnsi="宋体"/>
                <w:b/>
                <w:color w:val="auto"/>
                <w:sz w:val="21"/>
                <w:szCs w:val="21"/>
              </w:rPr>
              <w:t>。</w:t>
            </w:r>
            <w:r>
              <w:rPr>
                <w:rFonts w:hint="eastAsia" w:ascii="宋体" w:hAnsi="宋体" w:cs="宋体"/>
                <w:color w:val="auto"/>
                <w:sz w:val="21"/>
                <w:szCs w:val="21"/>
              </w:rPr>
              <w:t>本公司所销售的产品按客户要求进行，整个经营过程不涉及设计开发的内容。不影响为顾客提供满足法律、法规的产品和服务。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jc w:val="left"/>
              <w:rPr>
                <w:rFonts w:ascii="宋体" w:hAnsi="宋体" w:cs="宋体"/>
                <w:color w:val="000000"/>
                <w:sz w:val="21"/>
                <w:szCs w:val="21"/>
              </w:rPr>
            </w:pPr>
            <w:r>
              <w:rPr>
                <w:rFonts w:hint="eastAsia" w:ascii="宋体" w:hAnsi="宋体" w:cs="宋体"/>
                <w:color w:val="000000"/>
                <w:sz w:val="21"/>
                <w:szCs w:val="21"/>
              </w:rPr>
              <w:t>■质量/■环境/■职业健康安全方针（组织方针的适宜性/持续适宜性、方针的传达及职工的理解等）组织的方针：</w:t>
            </w:r>
          </w:p>
          <w:p>
            <w:pPr>
              <w:tabs>
                <w:tab w:val="left" w:pos="3731"/>
              </w:tabs>
              <w:adjustRightInd w:val="0"/>
              <w:snapToGrid w:val="0"/>
              <w:spacing w:line="312" w:lineRule="auto"/>
              <w:rPr>
                <w:rFonts w:ascii="宋体" w:hAnsi="宋体" w:cs="宋体"/>
                <w:sz w:val="21"/>
                <w:szCs w:val="21"/>
              </w:rPr>
            </w:pPr>
            <w:r>
              <w:rPr>
                <w:rFonts w:hint="eastAsia" w:ascii="宋体" w:hAnsi="宋体" w:cs="宋体"/>
                <w:sz w:val="21"/>
                <w:szCs w:val="21"/>
              </w:rPr>
              <w:t>质量方针：</w:t>
            </w:r>
          </w:p>
          <w:p>
            <w:pPr>
              <w:tabs>
                <w:tab w:val="left" w:pos="3731"/>
              </w:tabs>
              <w:adjustRightInd w:val="0"/>
              <w:snapToGrid w:val="0"/>
              <w:spacing w:line="312" w:lineRule="auto"/>
              <w:rPr>
                <w:rFonts w:ascii="宋体" w:hAnsi="宋体" w:cs="宋体"/>
                <w:sz w:val="21"/>
                <w:szCs w:val="21"/>
              </w:rPr>
            </w:pPr>
            <w:r>
              <w:rPr>
                <w:rFonts w:hint="eastAsia" w:ascii="宋体" w:hAnsi="宋体" w:cs="宋体"/>
                <w:sz w:val="21"/>
                <w:szCs w:val="21"/>
              </w:rPr>
              <w:t>精益求精 创“俊和”新优势</w:t>
            </w:r>
          </w:p>
          <w:p>
            <w:pPr>
              <w:jc w:val="left"/>
              <w:rPr>
                <w:rFonts w:ascii="宋体" w:hAnsi="宋体" w:cs="宋体"/>
                <w:sz w:val="21"/>
                <w:szCs w:val="21"/>
              </w:rPr>
            </w:pPr>
            <w:r>
              <w:rPr>
                <w:rFonts w:hint="eastAsia" w:ascii="宋体" w:hAnsi="宋体" w:cs="宋体"/>
                <w:sz w:val="21"/>
                <w:szCs w:val="21"/>
              </w:rPr>
              <w:t xml:space="preserve"> 环境方针： </w:t>
            </w:r>
          </w:p>
          <w:p>
            <w:pPr>
              <w:jc w:val="left"/>
              <w:rPr>
                <w:rFonts w:ascii="宋体" w:hAnsi="宋体" w:cs="宋体"/>
                <w:sz w:val="21"/>
                <w:szCs w:val="21"/>
              </w:rPr>
            </w:pPr>
            <w:r>
              <w:rPr>
                <w:rFonts w:hint="eastAsia" w:ascii="宋体" w:hAnsi="宋体" w:cs="宋体"/>
                <w:sz w:val="21"/>
                <w:szCs w:val="21"/>
              </w:rPr>
              <w:t>坚持走可持续发展之路，倡导绿色环保思想，遵守法律法规，从产品销售到服务的全过程中，实行污染预防和持续改进</w:t>
            </w:r>
          </w:p>
          <w:p>
            <w:pPr>
              <w:tabs>
                <w:tab w:val="left" w:pos="3731"/>
              </w:tabs>
              <w:adjustRightInd w:val="0"/>
              <w:snapToGrid w:val="0"/>
              <w:spacing w:line="312" w:lineRule="auto"/>
              <w:rPr>
                <w:rFonts w:ascii="宋体" w:hAnsi="宋体" w:cs="宋体"/>
                <w:sz w:val="21"/>
                <w:szCs w:val="21"/>
              </w:rPr>
            </w:pPr>
            <w:r>
              <w:rPr>
                <w:rFonts w:hint="eastAsia" w:ascii="宋体" w:hAnsi="宋体" w:cs="宋体"/>
                <w:sz w:val="21"/>
                <w:szCs w:val="21"/>
              </w:rPr>
              <w:t>职业健康安全管理方针：</w:t>
            </w:r>
          </w:p>
          <w:p>
            <w:pPr>
              <w:jc w:val="left"/>
              <w:rPr>
                <w:rFonts w:ascii="宋体" w:hAnsi="宋体" w:cs="宋体"/>
                <w:sz w:val="21"/>
                <w:szCs w:val="21"/>
              </w:rPr>
            </w:pPr>
            <w:r>
              <w:rPr>
                <w:rFonts w:hint="eastAsia" w:ascii="宋体" w:hAnsi="宋体" w:cs="宋体"/>
                <w:sz w:val="21"/>
                <w:szCs w:val="21"/>
              </w:rPr>
              <w:t>保障健康、安全销售、以人为本、永续发展、遵守法规、持续改进</w:t>
            </w:r>
          </w:p>
          <w:p>
            <w:pPr>
              <w:spacing w:line="240" w:lineRule="exact"/>
              <w:rPr>
                <w:rFonts w:ascii="宋体" w:hAnsi="宋体"/>
                <w:b/>
                <w:sz w:val="21"/>
                <w:szCs w:val="21"/>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spacing w:line="400" w:lineRule="exact"/>
              <w:rPr>
                <w:rFonts w:ascii="宋体" w:hAnsi="宋体" w:cs="宋体"/>
                <w:sz w:val="21"/>
                <w:szCs w:val="21"/>
              </w:rPr>
            </w:pPr>
            <w:r>
              <w:rPr>
                <w:rFonts w:hint="eastAsia" w:ascii="宋体" w:hAnsi="宋体"/>
                <w:b/>
                <w:sz w:val="21"/>
                <w:szCs w:val="21"/>
              </w:rPr>
              <w:t>质量管理体系过程有：</w:t>
            </w:r>
            <w:r>
              <w:rPr>
                <w:rFonts w:hint="eastAsia" w:ascii="宋体" w:hAnsi="宋体" w:cs="宋体"/>
                <w:sz w:val="21"/>
                <w:szCs w:val="21"/>
              </w:rPr>
              <w:t>确定顾客群体----商务洽谈----签订合同-----采购产品----产品交付----售后服务；</w:t>
            </w:r>
          </w:p>
          <w:p>
            <w:pPr>
              <w:spacing w:line="400" w:lineRule="exact"/>
              <w:rPr>
                <w:rFonts w:ascii="宋体" w:hAnsi="宋体"/>
                <w:b/>
                <w:sz w:val="21"/>
                <w:szCs w:val="21"/>
              </w:rPr>
            </w:pPr>
            <w:r>
              <w:rPr>
                <w:rFonts w:hint="eastAsia" w:ascii="宋体" w:hAnsi="宋体"/>
                <w:b/>
                <w:sz w:val="21"/>
                <w:szCs w:val="21"/>
              </w:rPr>
              <w:t>需要确认过程：销售过程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删减条款是，Q8.3  ，删减理由：</w:t>
            </w:r>
            <w:r>
              <w:rPr>
                <w:rFonts w:hint="eastAsia" w:ascii="宋体" w:hAnsi="宋体" w:cs="宋体"/>
                <w:color w:val="auto"/>
                <w:sz w:val="21"/>
                <w:szCs w:val="21"/>
                <w:u w:val="single"/>
              </w:rPr>
              <w:t>公司的产品均是销售给特定顾客，现阶段没有新产品和新顾客，根据公司销售服务特点,公司不提供设计新销售服务的要求</w:t>
            </w:r>
            <w:r>
              <w:rPr>
                <w:rFonts w:hint="eastAsia" w:ascii="宋体" w:hAnsi="宋体"/>
                <w:b/>
                <w:color w:val="auto"/>
                <w:sz w:val="21"/>
                <w:szCs w:val="21"/>
                <w:u w:val="single"/>
              </w:rPr>
              <w:t>。</w:t>
            </w:r>
            <w:r>
              <w:rPr>
                <w:rFonts w:hint="eastAsia" w:ascii="宋体" w:hAnsi="宋体" w:cs="宋体"/>
                <w:color w:val="auto"/>
                <w:sz w:val="21"/>
                <w:szCs w:val="21"/>
                <w:u w:val="single"/>
              </w:rPr>
              <w:t>本公司所销售的产品按客户要求进行，整个经营过程不涉及设计开发的内容。不影响为顾客提供满足法律、法规的产品和服务。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FF0000"/>
                <w:szCs w:val="21"/>
              </w:rPr>
            </w:pPr>
            <w:r>
              <w:rPr>
                <w:rFonts w:hint="eastAsia" w:ascii="宋体" w:hAnsi="宋体"/>
                <w:b/>
                <w:szCs w:val="21"/>
              </w:rPr>
              <w:t>法律法规的宣传方式：</w:t>
            </w:r>
            <w:r>
              <w:rPr>
                <w:rFonts w:hint="eastAsia" w:ascii="宋体" w:hAnsi="宋体"/>
                <w:b/>
                <w:color w:val="FF0000"/>
                <w:szCs w:val="21"/>
              </w:rPr>
              <w:t>培训</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center" w:pos="3169"/>
              </w:tabs>
              <w:spacing w:line="400" w:lineRule="exact"/>
              <w:jc w:val="left"/>
              <w:rPr>
                <w:rFonts w:ascii="宋体" w:hAnsi="宋体"/>
                <w:sz w:val="21"/>
                <w:szCs w:val="21"/>
              </w:rPr>
            </w:pPr>
            <w:r>
              <w:rPr>
                <w:rFonts w:hint="eastAsia" w:ascii="宋体" w:hAnsi="宋体"/>
                <w:sz w:val="21"/>
                <w:szCs w:val="21"/>
              </w:rPr>
              <w:t>管理目标                                    实施情况（2019.7-2020.3）</w:t>
            </w:r>
          </w:p>
          <w:p>
            <w:pPr>
              <w:spacing w:line="360" w:lineRule="auto"/>
              <w:ind w:left="315" w:right="-33"/>
              <w:rPr>
                <w:rFonts w:ascii="宋体" w:hAnsi="宋体"/>
                <w:sz w:val="21"/>
                <w:szCs w:val="21"/>
              </w:rPr>
            </w:pPr>
            <w:r>
              <w:rPr>
                <w:rFonts w:hint="eastAsia" w:ascii="宋体" w:hAnsi="宋体"/>
                <w:sz w:val="21"/>
                <w:szCs w:val="21"/>
              </w:rPr>
              <w:t>a 销售服务项目按约完成合格率</w:t>
            </w:r>
            <w:r>
              <w:rPr>
                <w:rFonts w:ascii="宋体" w:hAnsi="宋体"/>
                <w:sz w:val="21"/>
                <w:szCs w:val="21"/>
              </w:rPr>
              <w:t>100%</w:t>
            </w:r>
            <w:r>
              <w:rPr>
                <w:rFonts w:hint="eastAsia" w:ascii="宋体" w:hAnsi="宋体"/>
                <w:sz w:val="21"/>
                <w:szCs w:val="21"/>
              </w:rPr>
              <w:t>；              100%</w:t>
            </w:r>
          </w:p>
          <w:p>
            <w:pPr>
              <w:spacing w:line="360" w:lineRule="auto"/>
              <w:ind w:left="315" w:right="-33"/>
              <w:rPr>
                <w:rFonts w:ascii="宋体" w:hAnsi="宋体"/>
                <w:sz w:val="21"/>
                <w:szCs w:val="21"/>
              </w:rPr>
            </w:pPr>
            <w:r>
              <w:rPr>
                <w:rFonts w:ascii="宋体" w:hAnsi="宋体"/>
                <w:sz w:val="21"/>
                <w:szCs w:val="21"/>
              </w:rPr>
              <w:t xml:space="preserve">b </w:t>
            </w:r>
            <w:r>
              <w:rPr>
                <w:rFonts w:hint="eastAsia" w:ascii="宋体" w:hAnsi="宋体"/>
                <w:sz w:val="21"/>
                <w:szCs w:val="21"/>
              </w:rPr>
              <w:t>顾客满意度得分≥90分；                        96分</w:t>
            </w:r>
          </w:p>
          <w:p>
            <w:pPr>
              <w:spacing w:line="360" w:lineRule="auto"/>
              <w:ind w:left="315" w:right="-33"/>
              <w:rPr>
                <w:rFonts w:ascii="宋体" w:hAnsi="宋体"/>
                <w:sz w:val="21"/>
                <w:szCs w:val="21"/>
              </w:rPr>
            </w:pPr>
            <w:r>
              <w:rPr>
                <w:rFonts w:ascii="宋体" w:hAnsi="宋体"/>
                <w:sz w:val="21"/>
                <w:szCs w:val="21"/>
              </w:rPr>
              <w:t xml:space="preserve">c </w:t>
            </w:r>
            <w:r>
              <w:rPr>
                <w:rFonts w:hint="eastAsia" w:ascii="宋体" w:hAnsi="宋体"/>
                <w:sz w:val="21"/>
                <w:szCs w:val="21"/>
              </w:rPr>
              <w:t>固废综合处理</w:t>
            </w:r>
            <w:r>
              <w:rPr>
                <w:rFonts w:ascii="宋体" w:hAnsi="宋体"/>
                <w:sz w:val="21"/>
                <w:szCs w:val="21"/>
              </w:rPr>
              <w:t>率</w:t>
            </w:r>
            <w:r>
              <w:rPr>
                <w:rFonts w:hint="eastAsia" w:ascii="宋体" w:hAnsi="宋体"/>
                <w:sz w:val="21"/>
                <w:szCs w:val="21"/>
              </w:rPr>
              <w:t>100</w:t>
            </w:r>
            <w:r>
              <w:rPr>
                <w:rFonts w:ascii="宋体" w:hAnsi="宋体"/>
                <w:sz w:val="21"/>
                <w:szCs w:val="21"/>
              </w:rPr>
              <w:t>%</w:t>
            </w:r>
            <w:r>
              <w:rPr>
                <w:rFonts w:hint="eastAsia" w:ascii="宋体" w:hAnsi="宋体"/>
                <w:sz w:val="21"/>
                <w:szCs w:val="21"/>
              </w:rPr>
              <w:t>；                          100%</w:t>
            </w:r>
          </w:p>
          <w:p>
            <w:pPr>
              <w:spacing w:line="360" w:lineRule="auto"/>
              <w:ind w:left="315" w:right="-33"/>
              <w:rPr>
                <w:rFonts w:ascii="宋体" w:hAnsi="宋体"/>
                <w:sz w:val="21"/>
                <w:szCs w:val="21"/>
              </w:rPr>
            </w:pPr>
            <w:r>
              <w:rPr>
                <w:rFonts w:ascii="宋体" w:hAnsi="宋体"/>
                <w:sz w:val="21"/>
                <w:szCs w:val="21"/>
              </w:rPr>
              <w:t>d.火灾发生为</w:t>
            </w:r>
            <w:r>
              <w:rPr>
                <w:rFonts w:hint="eastAsia" w:ascii="宋体" w:hAnsi="宋体"/>
                <w:sz w:val="21"/>
                <w:szCs w:val="21"/>
              </w:rPr>
              <w:t>0；                                0</w:t>
            </w:r>
          </w:p>
          <w:p>
            <w:pPr>
              <w:spacing w:line="360" w:lineRule="auto"/>
              <w:ind w:left="315" w:right="-33"/>
              <w:rPr>
                <w:rFonts w:ascii="宋体" w:hAnsi="宋体"/>
                <w:sz w:val="21"/>
                <w:szCs w:val="21"/>
              </w:rPr>
            </w:pPr>
            <w:r>
              <w:rPr>
                <w:rFonts w:ascii="宋体" w:hAnsi="宋体"/>
                <w:sz w:val="21"/>
                <w:szCs w:val="21"/>
              </w:rPr>
              <w:t xml:space="preserve">d </w:t>
            </w:r>
            <w:r>
              <w:rPr>
                <w:rFonts w:hint="eastAsia" w:ascii="宋体" w:hAnsi="宋体"/>
                <w:sz w:val="21"/>
                <w:szCs w:val="21"/>
              </w:rPr>
              <w:t>重大安全事故</w:t>
            </w:r>
            <w:r>
              <w:rPr>
                <w:rFonts w:ascii="宋体" w:hAnsi="宋体"/>
                <w:sz w:val="21"/>
                <w:szCs w:val="21"/>
              </w:rPr>
              <w:t>发生为</w:t>
            </w:r>
            <w:r>
              <w:rPr>
                <w:rFonts w:hint="eastAsia" w:ascii="宋体" w:hAnsi="宋体"/>
                <w:sz w:val="21"/>
                <w:szCs w:val="21"/>
              </w:rPr>
              <w:t>0                          0</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10月20日进行了换版，换版为ISO45001：2018，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rPr>
              <w:t>办公面积120平方左右。主要设备为办公设备，</w:t>
            </w:r>
            <w:r>
              <w:rPr>
                <w:rFonts w:hint="eastAsia" w:ascii="宋体" w:hAnsi="宋体" w:cs="宋体"/>
                <w:color w:val="000000"/>
                <w:sz w:val="21"/>
                <w:szCs w:val="21"/>
              </w:rPr>
              <w:t>可以</w:t>
            </w:r>
            <w:r>
              <w:rPr>
                <w:rFonts w:hint="eastAsia" w:ascii="宋体" w:hAnsi="宋体" w:cs="宋体"/>
                <w:sz w:val="21"/>
                <w:szCs w:val="21"/>
              </w:rPr>
              <w:t>满足销售服务需要。行政部对设备按月方式进行维护保养，并实施</w:t>
            </w:r>
            <w:r>
              <w:rPr>
                <w:rFonts w:hint="eastAsia" w:ascii="宋体" w:hAnsi="宋体" w:cs="宋体"/>
                <w:color w:val="000000"/>
                <w:sz w:val="21"/>
                <w:szCs w:val="21"/>
              </w:rPr>
              <w:t>。特种设备：无。公司未建立信息管理系统用于销售服务。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办公场所内设备布置合理，通道部分不畅通，照明设施齐全，均配备了灭火器、消防栓等设施。目前公司主要向客户提供</w:t>
            </w:r>
            <w:r>
              <w:rPr>
                <w:sz w:val="21"/>
                <w:szCs w:val="21"/>
              </w:rPr>
              <w:t>机械设备， 电气设备， 柴油发电机组，化工产品（许可范围内危险化学品）的销售</w:t>
            </w:r>
            <w:r>
              <w:rPr>
                <w:rFonts w:hint="eastAsia" w:ascii="宋体" w:hAnsi="宋体"/>
                <w:sz w:val="21"/>
                <w:szCs w:val="21"/>
              </w:rPr>
              <w:t>服务，化学品销售开票式销售，对环境要求不高，目前工作环境符合销售需要。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210" w:firstLineChars="100"/>
              <w:rPr>
                <w:rFonts w:ascii="宋体" w:hAnsi="宋体"/>
                <w:b/>
                <w:sz w:val="21"/>
                <w:szCs w:val="21"/>
              </w:rPr>
            </w:pPr>
            <w:r>
              <w:rPr>
                <w:rFonts w:hint="eastAsia" w:ascii="宋体" w:hAnsi="宋体"/>
                <w:sz w:val="21"/>
                <w:szCs w:val="21"/>
              </w:rPr>
              <w:t>暂未配置检测设备，采取验证的方式进行验收。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ind w:firstLine="211" w:firstLineChars="100"/>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潜在火灾、固废排放、危化品泄漏，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组织建立了危险源识别、评价控制程序，识别评价了危险源、风险相关的过程，评价出了重要危险源（火灾；触电；化学品中毒、危化品爆炸</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tabs>
                <w:tab w:val="left" w:pos="2552"/>
              </w:tabs>
              <w:spacing w:line="360" w:lineRule="exact"/>
              <w:ind w:firstLine="315" w:firstLineChars="150"/>
              <w:rPr>
                <w:rFonts w:ascii="宋体" w:hAnsi="宋体"/>
                <w:b/>
                <w:sz w:val="21"/>
                <w:szCs w:val="21"/>
              </w:rPr>
            </w:pPr>
            <w:r>
              <w:rPr>
                <w:rFonts w:hint="eastAsia" w:asciiTheme="minorEastAsia" w:hAnsiTheme="minorEastAsia" w:eastAsiaTheme="minorEastAsia"/>
                <w:bCs/>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w:t>
            </w:r>
            <w:r>
              <w:rPr>
                <w:rFonts w:hint="eastAsia" w:ascii="宋体" w:hAnsi="宋体" w:cs="宋体"/>
                <w:sz w:val="21"/>
                <w:szCs w:val="21"/>
              </w:rPr>
              <w:t>已达到或超过了规定的目标值。通过2019年7月-2020年3月目标的测量，总体已达到或超过了规定的目标值。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rPr>
              <w:t>施，2019年11月实施，满意度评价96%，总体实现了顾客满意度的质量目标要求。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2020年1月20日-21日，拟定了审核实施表，明确了内审范围，内审人员经培训合格上岗，能力满足要求，未出现审核本部门情况，内审不合格项1个，属一般不符合。涉及供销部ES8.2未能提供应急预案记录，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管理评审频次为一年一次、本次管理评审于2020年3月5日由总经理主持完成、提供主要输入材料有各部门总结，输入信息基本充分和满足要求。输出见“管理评审报告”,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lang w:val="en-US" w:eastAsia="zh-CN"/>
              </w:rPr>
              <w:t>远程审核的</w:t>
            </w:r>
            <w:r>
              <w:rPr>
                <w:rFonts w:hint="eastAsia" w:ascii="宋体" w:hAnsi="宋体" w:cs="宋体"/>
                <w:sz w:val="21"/>
                <w:szCs w:val="21"/>
              </w:rPr>
              <w:t>不符合为Q7.1.5条款，经本次审核验证均整改且无类似不符合情况出现。</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rPr>
      </w:pPr>
      <w:r>
        <w:rPr>
          <w:rFonts w:hint="eastAsia" w:ascii="宋体" w:hAnsi="宋体"/>
          <w:b/>
          <w:szCs w:val="21"/>
        </w:rPr>
        <w:t>本</w:t>
      </w:r>
      <w:r>
        <w:rPr>
          <w:rFonts w:hint="eastAsia"/>
          <w:b/>
          <w:sz w:val="26"/>
          <w:szCs w:val="26"/>
        </w:rPr>
        <w:t>次审核共开具不符合项报告</w:t>
      </w:r>
      <w:r>
        <w:rPr>
          <w:rFonts w:hint="eastAsia"/>
          <w:b/>
          <w:sz w:val="26"/>
          <w:szCs w:val="26"/>
          <w:lang w:val="en-US" w:eastAsia="zh-CN"/>
        </w:rPr>
        <w:t xml:space="preserve"> 0 </w:t>
      </w:r>
      <w:r>
        <w:rPr>
          <w:rFonts w:hint="eastAsia"/>
          <w:b/>
          <w:sz w:val="26"/>
          <w:szCs w:val="26"/>
        </w:rPr>
        <w:t>项；其中</w:t>
      </w:r>
      <w:r>
        <w:rPr>
          <w:b/>
          <w:sz w:val="26"/>
          <w:szCs w:val="26"/>
        </w:rPr>
        <w:pict>
          <v:line id="直接连接符 1" o:spid="_x0000_s2052"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sz w:val="26"/>
          <w:szCs w:val="26"/>
        </w:rPr>
        <w:t xml:space="preserve">严重不符合 </w:t>
      </w:r>
      <w:r>
        <w:rPr>
          <w:rFonts w:hint="eastAsia"/>
          <w:b/>
          <w:sz w:val="26"/>
          <w:szCs w:val="26"/>
          <w:lang w:val="en-US" w:eastAsia="zh-CN"/>
        </w:rPr>
        <w:t xml:space="preserve"> </w:t>
      </w:r>
      <w:r>
        <w:rPr>
          <w:rFonts w:hint="eastAsia"/>
          <w:b/>
          <w:sz w:val="26"/>
          <w:szCs w:val="26"/>
        </w:rPr>
        <w:t>项，一般不符合 项，观察项0项。不符合项分布在部门条款，见不符合</w:t>
      </w:r>
      <w:r>
        <w:rPr>
          <w:rFonts w:hint="eastAsia" w:ascii="宋体" w:hAnsi="宋体"/>
          <w:b/>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Cs w:val="24"/>
              </w:rPr>
              <w:t>成都俊和科技有限公司</w:t>
            </w:r>
            <w:r>
              <w:rPr>
                <w:rFonts w:hint="eastAsia" w:ascii="微软雅黑" w:hAnsi="微软雅黑" w:eastAsia="微软雅黑"/>
                <w:bCs/>
                <w:szCs w:val="24"/>
              </w:rPr>
              <w:t>）的管理体系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rPr>
              <w:t>），换发证书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1" w:leftChars="-405" w:hanging="851" w:hangingChars="326"/>
        <w:rPr>
          <w:rFonts w:hint="eastAsia" w:ascii="仿宋" w:hAnsi="仿宋" w:eastAsia="仿宋" w:cstheme="minorBidi"/>
          <w:b w:val="0"/>
          <w:bCs/>
          <w:color w:val="auto"/>
          <w:kern w:val="24"/>
          <w:sz w:val="28"/>
          <w:szCs w:val="28"/>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仿宋" w:hAnsi="仿宋" w:eastAsia="仿宋" w:cstheme="minorBidi"/>
          <w:b w:val="0"/>
          <w:bCs/>
          <w:color w:val="auto"/>
          <w:kern w:val="24"/>
          <w:sz w:val="28"/>
          <w:szCs w:val="28"/>
        </w:rPr>
        <w:t>本次审核为远程审核的补充验证审核，</w:t>
      </w:r>
      <w:r>
        <w:rPr>
          <w:rFonts w:hint="eastAsia" w:ascii="仿宋" w:hAnsi="仿宋" w:eastAsia="仿宋" w:cstheme="minorBidi"/>
          <w:b w:val="0"/>
          <w:bCs/>
          <w:color w:val="auto"/>
          <w:kern w:val="24"/>
          <w:sz w:val="28"/>
          <w:szCs w:val="28"/>
        </w:rPr>
        <w:t>验证远程审核的有效性。提供的相关证实经现场验证真实有效。</w:t>
      </w:r>
    </w:p>
    <w:p>
      <w:pPr>
        <w:spacing w:beforeLines="50" w:afterLines="50"/>
        <w:ind w:left="-122" w:leftChars="-51" w:firstLine="97" w:firstLineChars="46"/>
        <w:rPr>
          <w:b/>
          <w:bCs/>
          <w:sz w:val="21"/>
          <w:szCs w:val="28"/>
        </w:rPr>
      </w:pP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5408" behindDoc="0" locked="0" layoutInCell="1" allowOverlap="1">
            <wp:simplePos x="0" y="0"/>
            <wp:positionH relativeFrom="column">
              <wp:posOffset>1295400</wp:posOffset>
            </wp:positionH>
            <wp:positionV relativeFrom="paragraph">
              <wp:posOffset>228600</wp:posOffset>
            </wp:positionV>
            <wp:extent cx="866140" cy="544830"/>
            <wp:effectExtent l="0" t="0" r="2540" b="3810"/>
            <wp:wrapNone/>
            <wp:docPr id="1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866140" cy="54483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rFonts w:hint="eastAsia"/>
          <w:b/>
          <w:sz w:val="21"/>
        </w:rPr>
      </w:pPr>
      <w:r>
        <w:rPr>
          <w:rFonts w:hint="eastAsia"/>
          <w:b/>
          <w:sz w:val="21"/>
        </w:rPr>
        <w:drawing>
          <wp:anchor distT="0" distB="0" distL="114300" distR="114300" simplePos="0" relativeHeight="251683840" behindDoc="0" locked="0" layoutInCell="1" allowOverlap="1">
            <wp:simplePos x="0" y="0"/>
            <wp:positionH relativeFrom="column">
              <wp:posOffset>1734820</wp:posOffset>
            </wp:positionH>
            <wp:positionV relativeFrom="paragraph">
              <wp:posOffset>277495</wp:posOffset>
            </wp:positionV>
            <wp:extent cx="574675" cy="440055"/>
            <wp:effectExtent l="0" t="0" r="4445" b="190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7" cstate="print"/>
                    <a:srcRect/>
                    <a:stretch>
                      <a:fillRect/>
                    </a:stretch>
                  </pic:blipFill>
                  <pic:spPr>
                    <a:xfrm>
                      <a:off x="3013710" y="1459230"/>
                      <a:ext cx="574675" cy="440055"/>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360" w:lineRule="auto"/>
        <w:ind w:firstLine="4096" w:firstLineChars="1700"/>
        <w:rPr>
          <w:rFonts w:hint="eastAsia"/>
          <w:b/>
          <w:color w:val="000000" w:themeColor="text1"/>
        </w:rPr>
      </w:pPr>
    </w:p>
    <w:p>
      <w:pPr>
        <w:snapToGrid w:val="0"/>
        <w:spacing w:line="360" w:lineRule="auto"/>
        <w:ind w:firstLine="3373" w:firstLineChars="1600"/>
        <w:rPr>
          <w:b/>
          <w:color w:val="000000" w:themeColor="text1"/>
          <w:sz w:val="21"/>
          <w:szCs w:val="21"/>
        </w:rPr>
      </w:pPr>
      <w:r>
        <w:rPr>
          <w:rFonts w:hint="eastAsia"/>
          <w:b/>
          <w:color w:val="000000" w:themeColor="text1"/>
          <w:sz w:val="21"/>
          <w:szCs w:val="21"/>
        </w:rPr>
        <w:t>日期</w:t>
      </w:r>
      <w:r>
        <w:rPr>
          <w:rFonts w:hint="eastAsia"/>
          <w:b/>
          <w:color w:val="000000" w:themeColor="text1"/>
          <w:sz w:val="21"/>
          <w:szCs w:val="21"/>
          <w:lang w:eastAsia="zh-CN"/>
        </w:rPr>
        <w:t>：</w:t>
      </w:r>
      <w:r>
        <w:rPr>
          <w:rFonts w:hint="eastAsia"/>
          <w:b/>
          <w:color w:val="auto"/>
          <w:sz w:val="21"/>
          <w:szCs w:val="21"/>
          <w:lang w:val="en-US" w:eastAsia="zh-CN"/>
        </w:rPr>
        <w:t>2021</w:t>
      </w:r>
      <w:r>
        <w:rPr>
          <w:rFonts w:hint="eastAsia"/>
          <w:b/>
          <w:color w:val="auto"/>
          <w:sz w:val="21"/>
          <w:szCs w:val="21"/>
        </w:rPr>
        <w:t xml:space="preserve"> </w:t>
      </w:r>
      <w:r>
        <w:rPr>
          <w:rFonts w:hint="eastAsia" w:asciiTheme="minorEastAsia" w:hAnsiTheme="minorEastAsia" w:eastAsiaTheme="minorEastAsia"/>
          <w:b/>
          <w:color w:val="auto"/>
          <w:sz w:val="21"/>
          <w:szCs w:val="21"/>
        </w:rPr>
        <w:t>年</w:t>
      </w:r>
      <w:r>
        <w:rPr>
          <w:rFonts w:hint="eastAsia" w:asciiTheme="minorEastAsia" w:hAnsiTheme="minorEastAsia" w:eastAsiaTheme="minorEastAsia"/>
          <w:b/>
          <w:color w:val="auto"/>
          <w:sz w:val="21"/>
          <w:szCs w:val="21"/>
          <w:lang w:val="en-US" w:eastAsia="zh-CN"/>
        </w:rPr>
        <w:t>1</w:t>
      </w:r>
      <w:r>
        <w:rPr>
          <w:rFonts w:hint="eastAsia" w:asciiTheme="minorEastAsia" w:hAnsiTheme="minorEastAsia" w:eastAsiaTheme="minorEastAsia"/>
          <w:b/>
          <w:color w:val="auto"/>
          <w:sz w:val="21"/>
          <w:szCs w:val="21"/>
        </w:rPr>
        <w:t>月</w:t>
      </w:r>
      <w:r>
        <w:rPr>
          <w:rFonts w:hint="eastAsia" w:asciiTheme="minorEastAsia" w:hAnsiTheme="minorEastAsia" w:eastAsiaTheme="minorEastAsia"/>
          <w:b/>
          <w:color w:val="auto"/>
          <w:sz w:val="21"/>
          <w:szCs w:val="21"/>
          <w:lang w:val="en-US" w:eastAsia="zh-CN"/>
        </w:rPr>
        <w:t>24</w:t>
      </w:r>
      <w:r>
        <w:rPr>
          <w:rFonts w:hint="eastAsia" w:asciiTheme="minorEastAsia" w:hAnsiTheme="minorEastAsia" w:eastAsiaTheme="minorEastAsia"/>
          <w:b/>
          <w:color w:val="auto"/>
          <w:sz w:val="21"/>
          <w:szCs w:val="21"/>
        </w:rPr>
        <w:t>日</w:t>
      </w:r>
    </w:p>
    <w:p>
      <w:pPr>
        <w:snapToGrid w:val="0"/>
        <w:spacing w:line="280" w:lineRule="exact"/>
        <w:ind w:firstLine="4638" w:firstLineChars="2200"/>
        <w:rPr>
          <w:b/>
          <w:sz w:val="21"/>
        </w:rPr>
      </w:pP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bCs/>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rFonts w:hint="eastAsia"/>
          <w:b/>
          <w:bCs/>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bCs/>
          <w:sz w:val="21"/>
          <w:szCs w:val="21"/>
        </w:rPr>
        <w:t>□验证合格□仍有问题</w:t>
      </w:r>
    </w:p>
    <w:p>
      <w:pPr>
        <w:spacing w:line="360" w:lineRule="exact"/>
        <w:ind w:firstLine="843" w:firstLineChars="40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p>
    <w:p>
      <w:pPr>
        <w:pStyle w:val="2"/>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2748"/>
        </w:tabs>
        <w:snapToGrid w:val="0"/>
        <w:spacing w:beforeLines="50"/>
        <w:ind w:firstLine="723" w:firstLineChars="343"/>
        <w:rPr>
          <w:rFonts w:hint="eastAsia"/>
          <w:b/>
          <w:sz w:val="21"/>
          <w:szCs w:val="21"/>
        </w:rPr>
      </w:pPr>
      <w:r>
        <w:rPr>
          <w:rFonts w:hint="eastAsia"/>
          <w:b/>
          <w:sz w:val="21"/>
          <w:szCs w:val="21"/>
        </w:rPr>
        <w:drawing>
          <wp:anchor distT="0" distB="0" distL="114300" distR="114300" simplePos="0" relativeHeight="251671552" behindDoc="0" locked="0" layoutInCell="1" allowOverlap="1">
            <wp:simplePos x="0" y="0"/>
            <wp:positionH relativeFrom="column">
              <wp:posOffset>1050925</wp:posOffset>
            </wp:positionH>
            <wp:positionV relativeFrom="paragraph">
              <wp:posOffset>131445</wp:posOffset>
            </wp:positionV>
            <wp:extent cx="841375" cy="529590"/>
            <wp:effectExtent l="0" t="0" r="1206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841375" cy="529590"/>
                    </a:xfrm>
                    <a:prstGeom prst="rect">
                      <a:avLst/>
                    </a:prstGeom>
                    <a:noFill/>
                    <a:ln w="9525">
                      <a:noFill/>
                      <a:miter lim="800000"/>
                      <a:headEnd/>
                      <a:tailEnd/>
                    </a:ln>
                  </pic:spPr>
                </pic:pic>
              </a:graphicData>
            </a:graphic>
          </wp:anchor>
        </w:drawing>
      </w:r>
    </w:p>
    <w:p>
      <w:pPr>
        <w:snapToGrid w:val="0"/>
        <w:spacing w:line="360" w:lineRule="auto"/>
        <w:ind w:firstLine="632" w:firstLineChars="300"/>
        <w:rPr>
          <w:b/>
          <w:color w:val="000000" w:themeColor="text1"/>
          <w:sz w:val="21"/>
          <w:szCs w:val="21"/>
        </w:rPr>
      </w:pPr>
      <w:r>
        <w:rPr>
          <w:rFonts w:hint="eastAsia"/>
          <w:b/>
          <w:sz w:val="21"/>
          <w:szCs w:val="21"/>
        </w:rPr>
        <w:t>组长签字：</w:t>
      </w:r>
      <w:r>
        <w:rPr>
          <w:b/>
          <w:sz w:val="21"/>
          <w:szCs w:val="21"/>
        </w:rPr>
        <w:tab/>
      </w:r>
      <w:r>
        <w:rPr>
          <w:rFonts w:hint="eastAsia"/>
          <w:b/>
          <w:sz w:val="21"/>
          <w:szCs w:val="21"/>
          <w:lang w:val="en-US" w:eastAsia="zh-CN"/>
        </w:rPr>
        <w:t xml:space="preserve">            </w:t>
      </w:r>
      <w:r>
        <w:rPr>
          <w:rFonts w:hint="eastAsia"/>
          <w:b/>
          <w:color w:val="000000" w:themeColor="text1"/>
          <w:sz w:val="21"/>
          <w:szCs w:val="21"/>
        </w:rPr>
        <w:t>日期</w:t>
      </w:r>
      <w:r>
        <w:rPr>
          <w:rFonts w:hint="eastAsia"/>
          <w:b/>
          <w:color w:val="000000" w:themeColor="text1"/>
          <w:sz w:val="21"/>
          <w:szCs w:val="21"/>
          <w:lang w:eastAsia="zh-CN"/>
        </w:rPr>
        <w:t>：</w:t>
      </w:r>
      <w:r>
        <w:rPr>
          <w:rFonts w:hint="eastAsia"/>
          <w:b/>
          <w:color w:val="auto"/>
          <w:sz w:val="21"/>
          <w:szCs w:val="21"/>
          <w:lang w:val="en-US" w:eastAsia="zh-CN"/>
        </w:rPr>
        <w:t>2021</w:t>
      </w:r>
      <w:r>
        <w:rPr>
          <w:rFonts w:hint="eastAsia"/>
          <w:b/>
          <w:color w:val="auto"/>
          <w:sz w:val="21"/>
          <w:szCs w:val="21"/>
        </w:rPr>
        <w:t xml:space="preserve"> </w:t>
      </w:r>
      <w:r>
        <w:rPr>
          <w:rFonts w:hint="eastAsia" w:asciiTheme="minorEastAsia" w:hAnsiTheme="minorEastAsia" w:eastAsiaTheme="minorEastAsia"/>
          <w:b/>
          <w:color w:val="auto"/>
          <w:sz w:val="21"/>
          <w:szCs w:val="21"/>
        </w:rPr>
        <w:t>年</w:t>
      </w:r>
      <w:r>
        <w:rPr>
          <w:rFonts w:hint="eastAsia" w:asciiTheme="minorEastAsia" w:hAnsiTheme="minorEastAsia" w:eastAsiaTheme="minorEastAsia"/>
          <w:b/>
          <w:color w:val="auto"/>
          <w:sz w:val="21"/>
          <w:szCs w:val="21"/>
          <w:lang w:val="en-US" w:eastAsia="zh-CN"/>
        </w:rPr>
        <w:t>1</w:t>
      </w:r>
      <w:r>
        <w:rPr>
          <w:rFonts w:hint="eastAsia" w:asciiTheme="minorEastAsia" w:hAnsiTheme="minorEastAsia" w:eastAsiaTheme="minorEastAsia"/>
          <w:b/>
          <w:color w:val="auto"/>
          <w:sz w:val="21"/>
          <w:szCs w:val="21"/>
        </w:rPr>
        <w:t>月</w:t>
      </w:r>
      <w:r>
        <w:rPr>
          <w:rFonts w:hint="eastAsia" w:asciiTheme="minorEastAsia" w:hAnsiTheme="minorEastAsia" w:eastAsiaTheme="minorEastAsia"/>
          <w:b/>
          <w:color w:val="auto"/>
          <w:sz w:val="21"/>
          <w:szCs w:val="21"/>
          <w:lang w:val="en-US" w:eastAsia="zh-CN"/>
        </w:rPr>
        <w:t>24</w:t>
      </w:r>
      <w:r>
        <w:rPr>
          <w:rFonts w:hint="eastAsia" w:asciiTheme="minorEastAsia" w:hAnsiTheme="minorEastAsia" w:eastAsiaTheme="minorEastAsia"/>
          <w:b/>
          <w:color w:val="auto"/>
          <w:sz w:val="21"/>
          <w:szCs w:val="21"/>
        </w:rPr>
        <w:t>日</w:t>
      </w:r>
    </w:p>
    <w:p>
      <w:pPr>
        <w:tabs>
          <w:tab w:val="left" w:pos="2748"/>
        </w:tabs>
        <w:snapToGrid w:val="0"/>
        <w:spacing w:beforeLines="50"/>
        <w:ind w:firstLine="632" w:firstLineChars="300"/>
        <w:rPr>
          <w:b/>
          <w:sz w:val="21"/>
          <w:szCs w:val="21"/>
          <w:u w:val="single"/>
        </w:rPr>
      </w:pP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      年   月   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090FE0"/>
    <w:rsid w:val="4DD6497D"/>
    <w:rsid w:val="63F25FC7"/>
    <w:rsid w:val="7AD46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7</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2021-01-26T07:41:08Z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