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重庆创润绿宝通用机械有限公司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4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4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内审检查表、管理评审输入输出描述较为笼统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2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加强现场定置定位及标识的使用规范性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3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各种记录保存的完整规范性应加强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bookmarkStart w:id="5" w:name="_GoBack"/>
            <w:bookmarkEnd w:id="5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4.05pt;margin-top:2.2pt;height:19.9pt;width:168.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-37观察项（建议项）03版)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A05549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</w:tblPr>
  </w:style>
  <w:style w:type="character" w:customStyle="1" w:styleId="7">
    <w:name w:val="页眉 字符"/>
    <w:basedOn w:val="6"/>
    <w:link w:val="3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26</Words>
  <Characters>149</Characters>
  <Lines>1</Lines>
  <Paragraphs>1</Paragraphs>
  <TotalTime>10</TotalTime>
  <ScaleCrop>false</ScaleCrop>
  <LinksUpToDate>false</LinksUpToDate>
  <CharactersWithSpaces>174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张</cp:lastModifiedBy>
  <dcterms:modified xsi:type="dcterms:W3CDTF">2019-10-13T14:48:04Z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