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ascii="宋体" w:hAnsi="宋体"/>
          <w:sz w:val="18"/>
        </w:rPr>
      </w:pPr>
      <w:r>
        <w:rPr>
          <w:rFonts w:hint="eastAsia" w:ascii="宋体" w:hAnsi="宋体"/>
          <w:sz w:val="18"/>
        </w:rPr>
        <w:t xml:space="preserve"> 编  号：</w:t>
      </w:r>
      <w:bookmarkStart w:id="0" w:name="合同编号"/>
      <w:r>
        <w:rPr>
          <w:szCs w:val="44"/>
        </w:rPr>
        <w:t>0504-2019-Q</w:t>
      </w:r>
      <w:bookmarkEnd w:id="0"/>
    </w:p>
    <w:p>
      <w:pPr>
        <w:wordWrap w:val="0"/>
        <w:bidi w:val="0"/>
        <w:ind w:right="401" w:rightChars="191"/>
        <w:jc w:val="right"/>
        <w:rPr>
          <w:rFonts w:hint="eastAsia"/>
          <w:szCs w:val="44"/>
          <w:u w:val="single"/>
        </w:rPr>
      </w:pPr>
    </w:p>
    <w:p>
      <w:pPr>
        <w:snapToGrid w:val="0"/>
        <w:spacing w:afterLines="30"/>
        <w:jc w:val="right"/>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重庆创润绿宝通用机械有限公司</w:t>
      </w:r>
      <w:bookmarkEnd w:id="1"/>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lang w:eastAsia="zh-CN"/>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Style w:val="9"/>
          <w:rFonts w:hint="eastAsia" w:ascii="楷体" w:hAnsi="楷体" w:eastAsia="楷体"/>
          <w:b/>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Style w:val="9"/>
          <w:rFonts w:hint="eastAsia" w:ascii="楷体" w:hAnsi="楷体" w:eastAsia="楷体"/>
          <w:b/>
          <w:sz w:val="36"/>
          <w:szCs w:val="3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971"/>
        <w:gridCol w:w="163"/>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54"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71" w:type="dxa"/>
            <w:gridSpan w:val="2"/>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gridSpan w:val="2"/>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299"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512" w:type="dxa"/>
            <w:gridSpan w:val="3"/>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299" w:type="dxa"/>
            <w:gridSpan w:val="2"/>
            <w:vAlign w:val="center"/>
          </w:tcPr>
          <w:p>
            <w:pPr>
              <w:spacing w:line="240" w:lineRule="exact"/>
              <w:jc w:val="center"/>
              <w:rPr>
                <w:b/>
                <w:color w:val="000000" w:themeColor="text1"/>
                <w:sz w:val="20"/>
                <w:szCs w:val="20"/>
              </w:rPr>
            </w:pPr>
            <w:r>
              <w:rPr>
                <w:b/>
                <w:color w:val="000000" w:themeColor="text1"/>
                <w:sz w:val="20"/>
                <w:szCs w:val="20"/>
              </w:rPr>
              <w:t>审核员</w:t>
            </w:r>
          </w:p>
        </w:tc>
        <w:tc>
          <w:tcPr>
            <w:tcW w:w="2512" w:type="dxa"/>
            <w:gridSpan w:val="3"/>
            <w:vAlign w:val="center"/>
          </w:tcPr>
          <w:p>
            <w:pPr>
              <w:spacing w:line="240" w:lineRule="exact"/>
              <w:jc w:val="center"/>
              <w:rPr>
                <w:b/>
                <w:color w:val="000000" w:themeColor="text1"/>
                <w:sz w:val="20"/>
                <w:szCs w:val="20"/>
              </w:rPr>
            </w:pPr>
            <w:r>
              <w:rPr>
                <w:b/>
                <w:color w:val="000000" w:themeColor="text1"/>
                <w:sz w:val="20"/>
                <w:szCs w:val="20"/>
              </w:rPr>
              <w:t>18.01.01,18.03.00,19.09.01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299" w:type="dxa"/>
            <w:gridSpan w:val="2"/>
            <w:vAlign w:val="center"/>
          </w:tcPr>
          <w:p>
            <w:pPr>
              <w:rPr>
                <w:b/>
                <w:color w:val="000000" w:themeColor="text1"/>
                <w:sz w:val="20"/>
                <w:szCs w:val="20"/>
              </w:rPr>
            </w:pPr>
          </w:p>
        </w:tc>
        <w:tc>
          <w:tcPr>
            <w:tcW w:w="2512"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299" w:type="dxa"/>
            <w:gridSpan w:val="2"/>
            <w:vAlign w:val="center"/>
          </w:tcPr>
          <w:p>
            <w:pPr>
              <w:rPr>
                <w:b/>
                <w:color w:val="000000" w:themeColor="text1"/>
                <w:sz w:val="20"/>
                <w:szCs w:val="20"/>
              </w:rPr>
            </w:pPr>
          </w:p>
        </w:tc>
        <w:tc>
          <w:tcPr>
            <w:tcW w:w="2512"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299" w:type="dxa"/>
            <w:gridSpan w:val="2"/>
            <w:vAlign w:val="center"/>
          </w:tcPr>
          <w:p>
            <w:pPr>
              <w:rPr>
                <w:b/>
                <w:color w:val="000000" w:themeColor="text1"/>
                <w:sz w:val="20"/>
                <w:szCs w:val="20"/>
              </w:rPr>
            </w:pPr>
          </w:p>
        </w:tc>
        <w:tc>
          <w:tcPr>
            <w:tcW w:w="2512" w:type="dxa"/>
            <w:gridSpan w:val="3"/>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299" w:type="dxa"/>
            <w:gridSpan w:val="2"/>
            <w:vAlign w:val="center"/>
          </w:tcPr>
          <w:p>
            <w:pPr>
              <w:rPr>
                <w:b/>
                <w:color w:val="000000" w:themeColor="text1"/>
                <w:sz w:val="20"/>
                <w:szCs w:val="20"/>
              </w:rPr>
            </w:pPr>
            <w:r>
              <w:rPr>
                <w:rFonts w:hint="eastAsia"/>
                <w:b/>
                <w:color w:val="000000" w:themeColor="text1"/>
                <w:sz w:val="20"/>
                <w:szCs w:val="20"/>
              </w:rPr>
              <w:t>工作单位</w:t>
            </w:r>
          </w:p>
        </w:tc>
        <w:tc>
          <w:tcPr>
            <w:tcW w:w="2512" w:type="dxa"/>
            <w:gridSpan w:val="3"/>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299" w:type="dxa"/>
            <w:gridSpan w:val="2"/>
            <w:vAlign w:val="center"/>
          </w:tcPr>
          <w:p>
            <w:pPr>
              <w:rPr>
                <w:b/>
                <w:color w:val="000000" w:themeColor="text1"/>
              </w:rPr>
            </w:pPr>
          </w:p>
        </w:tc>
        <w:tc>
          <w:tcPr>
            <w:tcW w:w="2512" w:type="dxa"/>
            <w:gridSpan w:val="3"/>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299" w:type="dxa"/>
            <w:gridSpan w:val="2"/>
            <w:vAlign w:val="center"/>
          </w:tcPr>
          <w:p>
            <w:pPr>
              <w:rPr>
                <w:b/>
                <w:color w:val="000000" w:themeColor="text1"/>
              </w:rPr>
            </w:pPr>
          </w:p>
        </w:tc>
        <w:tc>
          <w:tcPr>
            <w:tcW w:w="2512" w:type="dxa"/>
            <w:gridSpan w:val="3"/>
            <w:vAlign w:val="center"/>
          </w:tcPr>
          <w:p>
            <w:pPr>
              <w:rPr>
                <w:b/>
                <w:color w:val="000000" w:themeColor="text1"/>
              </w:rPr>
            </w:pPr>
          </w:p>
        </w:tc>
      </w:tr>
    </w:tbl>
    <w:p>
      <w:pPr>
        <w:pStyle w:val="10"/>
        <w:numPr>
          <w:ilvl w:val="0"/>
          <w:numId w:val="0"/>
        </w:numPr>
        <w:rPr>
          <w:rFonts w:ascii="宋体" w:hAnsi="宋体"/>
          <w:b/>
          <w:color w:val="000000" w:themeColor="text1"/>
          <w:sz w:val="26"/>
          <w:szCs w:val="2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lang w:eastAsia="zh-CN"/>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2" w:name="审核依据"/>
      <w:r>
        <w:rPr>
          <w:rFonts w:hint="eastAsia" w:ascii="宋体" w:hAnsi="宋体"/>
          <w:b/>
          <w:color w:val="000000" w:themeColor="text1"/>
          <w:spacing w:val="-10"/>
          <w:sz w:val="20"/>
          <w:szCs w:val="20"/>
        </w:rPr>
        <w:t>GB/T 19001-2016idtISO 9001:2015</w:t>
      </w:r>
      <w:bookmarkEnd w:id="2"/>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3" w:name="组织名称Add1"/>
            <w:r>
              <w:rPr>
                <w:rFonts w:ascii="宋体" w:hAnsi="宋体"/>
                <w:b/>
                <w:color w:val="000000" w:themeColor="text1"/>
                <w:sz w:val="20"/>
                <w:szCs w:val="20"/>
              </w:rPr>
              <w:t>重庆创润绿宝通用机械有限公司</w:t>
            </w:r>
            <w:bookmarkEnd w:id="3"/>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4" w:name="企业人数"/>
            <w:r>
              <w:rPr>
                <w:rFonts w:ascii="宋体" w:hAnsi="宋体"/>
                <w:b/>
                <w:color w:val="000000" w:themeColor="text1"/>
                <w:sz w:val="20"/>
                <w:szCs w:val="20"/>
              </w:rPr>
              <w:t>25</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5" w:name="注册地址"/>
            <w:r>
              <w:rPr>
                <w:rFonts w:ascii="宋体" w:hAnsi="宋体"/>
                <w:b/>
                <w:color w:val="000000" w:themeColor="text1"/>
                <w:sz w:val="20"/>
                <w:szCs w:val="20"/>
              </w:rPr>
              <w:t>重庆市合川区工业园区核心区HC14-003-14</w:t>
            </w:r>
            <w:bookmarkEnd w:id="5"/>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6" w:name="注册邮编"/>
            <w:r>
              <w:rPr>
                <w:rFonts w:ascii="宋体" w:hAnsi="宋体"/>
                <w:b/>
                <w:color w:val="000000" w:themeColor="text1"/>
                <w:spacing w:val="-20"/>
                <w:sz w:val="20"/>
                <w:szCs w:val="20"/>
              </w:rPr>
              <w:t>600000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7" w:name="办公地址"/>
            <w:r>
              <w:rPr>
                <w:rFonts w:ascii="宋体" w:hAnsi="宋体"/>
                <w:b/>
                <w:color w:val="000000" w:themeColor="text1"/>
                <w:sz w:val="20"/>
                <w:szCs w:val="20"/>
              </w:rPr>
              <w:t>重庆市合川区工业园区核心区HC14-003-14</w:t>
            </w:r>
            <w:bookmarkEnd w:id="7"/>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600000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马</w:t>
            </w:r>
            <w:r>
              <w:rPr>
                <w:rFonts w:hint="eastAsia" w:ascii="宋体" w:hAnsi="宋体"/>
                <w:b/>
                <w:color w:val="000000" w:themeColor="text1"/>
                <w:sz w:val="20"/>
                <w:szCs w:val="20"/>
                <w:lang w:eastAsia="zh-CN"/>
              </w:rPr>
              <w:t>林</w:t>
            </w:r>
            <w:r>
              <w:rPr>
                <w:rFonts w:ascii="宋体" w:hAnsi="宋体"/>
                <w:b/>
                <w:color w:val="000000" w:themeColor="text1"/>
                <w:sz w:val="20"/>
                <w:szCs w:val="20"/>
              </w:rPr>
              <w:t>珊</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13883822229</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姚俐君</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马琳珊</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通用小型汽油机（许可证范围内）、汽油发电机组、汽油水泵机组的生产</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18.01.01;18.03.00;19.09.01</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2019-04-08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pStyle w:val="10"/>
        <w:numPr>
          <w:ilvl w:val="0"/>
          <w:numId w:val="0"/>
        </w:numPr>
        <w:rPr>
          <w:rFonts w:ascii="宋体" w:hAnsi="宋体"/>
          <w:b/>
          <w:color w:val="000000" w:themeColor="text1"/>
          <w:sz w:val="26"/>
          <w:szCs w:val="26"/>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0" w:lineRule="atLeast"/>
              <w:jc w:val="left"/>
              <w:rPr>
                <w:rFonts w:hint="eastAsia" w:eastAsia="宋体"/>
                <w:b/>
                <w:color w:val="FF0000"/>
                <w:sz w:val="20"/>
                <w:szCs w:val="20"/>
                <w:lang w:eastAsia="zh-CN"/>
              </w:rPr>
            </w:pPr>
            <w:r>
              <w:rPr>
                <w:rFonts w:hint="eastAsia" w:ascii="宋体" w:hAnsi="宋体"/>
                <w:sz w:val="21"/>
                <w:szCs w:val="21"/>
                <w:lang w:eastAsia="zh-CN"/>
              </w:rPr>
              <w:t xml:space="preserve">通用小型汽油机（许可证范围内）、汽油发电机组、汽油水泵机组的生产 </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spacing w:line="0" w:lineRule="atLeast"/>
              <w:jc w:val="left"/>
              <w:rPr>
                <w:rFonts w:hint="eastAsia" w:eastAsia="宋体"/>
                <w:b/>
                <w:color w:val="000000" w:themeColor="text1"/>
                <w:sz w:val="20"/>
                <w:szCs w:val="20"/>
                <w:lang w:eastAsia="zh-CN"/>
              </w:rPr>
            </w:pPr>
            <w:r>
              <w:rPr>
                <w:rFonts w:hint="eastAsia" w:ascii="宋体" w:hAnsi="宋体"/>
                <w:color w:val="000000"/>
                <w:szCs w:val="21"/>
              </w:rPr>
              <w:t>B/T51352-20代替JB/T5135.1-2001通用小型汽油机第2部分:台架性能试验方法</w:t>
            </w:r>
            <w:r>
              <w:rPr>
                <w:rFonts w:hint="eastAsia" w:ascii="宋体" w:hAnsi="宋体"/>
                <w:color w:val="000000"/>
                <w:szCs w:val="21"/>
                <w:lang w:eastAsia="zh-CN"/>
              </w:rPr>
              <w:t>、</w:t>
            </w:r>
            <w:r>
              <w:rPr>
                <w:rFonts w:hint="eastAsia" w:ascii="宋体" w:hAnsi="宋体"/>
                <w:color w:val="000000"/>
                <w:szCs w:val="21"/>
              </w:rPr>
              <w:t>JB/51351-2013代替JB/T5135.3-2001通用小型汽油机第1部分:技术条件</w:t>
            </w:r>
            <w:r>
              <w:rPr>
                <w:rFonts w:hint="eastAsia" w:ascii="宋体" w:hAnsi="宋体"/>
                <w:color w:val="000000"/>
                <w:szCs w:val="21"/>
                <w:lang w:eastAsia="zh-CN"/>
              </w:rPr>
              <w:t>、</w:t>
            </w:r>
            <w:r>
              <w:rPr>
                <w:rFonts w:hint="eastAsia" w:ascii="宋体" w:hAnsi="宋体"/>
                <w:color w:val="000000"/>
                <w:szCs w:val="21"/>
              </w:rPr>
              <w:t>JB/T51353-20代替JB/T5135.2-2001通用小型汽油机第3部分:可靠性、耐久性试验与评定方法</w:t>
            </w:r>
            <w:r>
              <w:rPr>
                <w:rFonts w:hint="eastAsia" w:ascii="宋体" w:hAnsi="宋体"/>
                <w:color w:val="000000"/>
                <w:szCs w:val="21"/>
                <w:lang w:eastAsia="zh-CN"/>
              </w:rPr>
              <w:t>、GB/T 24673-2009小型汽油机直联高速离心泵、企业标准</w:t>
            </w:r>
            <w:r>
              <w:rPr>
                <w:rFonts w:hint="eastAsia" w:ascii="宋体" w:hAnsi="宋体"/>
                <w:color w:val="000000"/>
                <w:szCs w:val="21"/>
                <w:lang w:val="en-US" w:eastAsia="zh-CN"/>
              </w:rPr>
              <w:t>Q/CR001-2019通用汽油机、JB/T10304-2001《工频汽油发电机组技术条件》</w:t>
            </w:r>
            <w:r>
              <w:rPr>
                <w:rFonts w:hint="eastAsia" w:ascii="宋体" w:hAnsi="宋体"/>
                <w:color w:val="000000"/>
                <w:szCs w:val="21"/>
              </w:rPr>
              <w:t>和客户要求及协议</w:t>
            </w:r>
            <w:r>
              <w:rPr>
                <w:rFonts w:hint="eastAsia" w:ascii="宋体" w:hAnsi="宋体"/>
                <w:color w:val="000000"/>
                <w:szCs w:val="21"/>
                <w:lang w:eastAsia="zh-CN"/>
              </w:rPr>
              <w:t>。</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eastAsia="zh-CN"/>
        </w:rPr>
        <w:t>2019</w:t>
      </w:r>
      <w:r>
        <w:rPr>
          <w:rFonts w:hint="eastAsia"/>
          <w:b/>
          <w:color w:val="000000" w:themeColor="text1"/>
          <w:spacing w:val="-10"/>
          <w:szCs w:val="21"/>
          <w:u w:val="single"/>
        </w:rPr>
        <w:t>年</w:t>
      </w:r>
      <w:r>
        <w:rPr>
          <w:rFonts w:hint="eastAsia"/>
          <w:b/>
          <w:color w:val="000000" w:themeColor="text1"/>
          <w:spacing w:val="-10"/>
          <w:szCs w:val="21"/>
          <w:u w:val="single"/>
          <w:lang w:eastAsia="zh-CN"/>
        </w:rPr>
        <w:t>0</w:t>
      </w:r>
      <w:r>
        <w:rPr>
          <w:rFonts w:hint="eastAsia"/>
          <w:b/>
          <w:color w:val="000000" w:themeColor="text1"/>
          <w:spacing w:val="-10"/>
          <w:szCs w:val="21"/>
          <w:u w:val="single"/>
          <w:lang w:val="en-US" w:eastAsia="zh-CN"/>
        </w:rPr>
        <w:t>4</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8</w:t>
      </w:r>
      <w:r>
        <w:rPr>
          <w:rFonts w:hint="eastAsia"/>
          <w:b/>
          <w:color w:val="000000" w:themeColor="text1"/>
          <w:spacing w:val="-10"/>
          <w:szCs w:val="21"/>
          <w:u w:val="single"/>
        </w:rPr>
        <w:t xml:space="preserve">日至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质量为本、信誉至上，持续改进，争创一流，满足要求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w:t>
            </w:r>
            <w:r>
              <w:rPr>
                <w:rFonts w:hint="eastAsia" w:ascii="宋体" w:hAnsi="宋体"/>
                <w:color w:val="000000" w:themeColor="text1"/>
                <w:lang w:eastAsia="zh-CN"/>
              </w:rPr>
              <w:t>垃圾分类收集</w:t>
            </w:r>
            <w:r>
              <w:rPr>
                <w:rFonts w:hint="eastAsia" w:ascii="宋体" w:hAnsi="宋体"/>
                <w:color w:val="000000" w:themeColor="text1"/>
              </w:rPr>
              <w:t>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0" w:lineRule="atLeast"/>
              <w:jc w:val="left"/>
              <w:rPr>
                <w:rFonts w:hint="eastAsia"/>
                <w:b/>
                <w:bCs/>
                <w:sz w:val="21"/>
                <w:szCs w:val="21"/>
              </w:rPr>
            </w:pPr>
            <w:r>
              <w:rPr>
                <w:rFonts w:hint="eastAsia"/>
                <w:b/>
                <w:bCs/>
                <w:sz w:val="21"/>
                <w:szCs w:val="21"/>
              </w:rPr>
              <w:t>5.QMS过程</w:t>
            </w:r>
          </w:p>
          <w:p>
            <w:pPr>
              <w:spacing w:line="0" w:lineRule="atLeast"/>
              <w:jc w:val="left"/>
              <w:rPr>
                <w:rFonts w:hint="eastAsia" w:eastAsia="宋体"/>
                <w:sz w:val="21"/>
                <w:szCs w:val="21"/>
                <w:lang w:eastAsia="zh-CN"/>
              </w:rPr>
            </w:pPr>
            <w:r>
              <w:rPr>
                <w:rFonts w:hint="eastAsia"/>
                <w:sz w:val="21"/>
                <w:szCs w:val="21"/>
              </w:rPr>
              <w:t>质量管理体系过程有：</w:t>
            </w:r>
            <w:r>
              <w:rPr>
                <w:rFonts w:hint="eastAsia"/>
                <w:sz w:val="21"/>
                <w:szCs w:val="21"/>
                <w:lang w:eastAsia="zh-CN"/>
              </w:rPr>
              <w:t xml:space="preserve">通用小型汽油机（许可证范围内）、汽油发电机组、汽油水泵机组的生产 </w:t>
            </w:r>
          </w:p>
          <w:p>
            <w:pPr>
              <w:spacing w:line="0" w:lineRule="atLeast"/>
              <w:jc w:val="left"/>
              <w:rPr>
                <w:rFonts w:hint="eastAsia"/>
                <w:sz w:val="21"/>
                <w:szCs w:val="21"/>
                <w:lang w:eastAsia="zh-CN"/>
              </w:rPr>
            </w:pPr>
            <w:r>
              <w:rPr>
                <w:rFonts w:hint="eastAsia"/>
                <w:sz w:val="21"/>
                <w:szCs w:val="21"/>
              </w:rPr>
              <w:t>其中关键过程有：</w:t>
            </w:r>
            <w:r>
              <w:rPr>
                <w:rFonts w:hint="eastAsia"/>
                <w:sz w:val="21"/>
                <w:szCs w:val="21"/>
                <w:lang w:eastAsia="zh-CN"/>
              </w:rPr>
              <w:t>组装过程</w:t>
            </w:r>
          </w:p>
          <w:p>
            <w:pPr>
              <w:spacing w:line="0" w:lineRule="atLeast"/>
              <w:jc w:val="left"/>
              <w:rPr>
                <w:rFonts w:hint="eastAsia"/>
                <w:sz w:val="21"/>
                <w:szCs w:val="21"/>
                <w:lang w:eastAsia="zh-CN"/>
              </w:rPr>
            </w:pPr>
            <w:r>
              <w:rPr>
                <w:rFonts w:hint="eastAsia"/>
                <w:sz w:val="21"/>
                <w:szCs w:val="21"/>
              </w:rPr>
              <w:t xml:space="preserve">需要确认过程：  </w:t>
            </w:r>
            <w:r>
              <w:rPr>
                <w:rFonts w:hint="eastAsia"/>
                <w:sz w:val="21"/>
                <w:szCs w:val="21"/>
                <w:lang w:eastAsia="zh-CN"/>
              </w:rPr>
              <w:t>无</w:t>
            </w:r>
          </w:p>
          <w:p>
            <w:pPr>
              <w:spacing w:line="0" w:lineRule="atLeast"/>
              <w:jc w:val="left"/>
              <w:rPr>
                <w:rFonts w:hint="eastAsia"/>
                <w:sz w:val="21"/>
                <w:szCs w:val="21"/>
              </w:rPr>
            </w:pPr>
            <w:r>
              <w:rPr>
                <w:rFonts w:hint="eastAsia"/>
                <w:sz w:val="21"/>
                <w:szCs w:val="21"/>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hint="eastAsia"/>
                <w:sz w:val="21"/>
                <w:szCs w:val="21"/>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sz w:val="21"/>
                <w:szCs w:val="21"/>
              </w:rPr>
              <w:t>不适用条款是 Q8.3  ，不适用理由：公司开展的</w:t>
            </w:r>
            <w:r>
              <w:rPr>
                <w:rFonts w:hint="eastAsia"/>
                <w:sz w:val="21"/>
                <w:szCs w:val="21"/>
                <w:lang w:eastAsia="zh-CN"/>
              </w:rPr>
              <w:t>通用小型汽油机（许可证范围内）、汽油发电机组、汽油水泵机组的生产</w:t>
            </w:r>
            <w:r>
              <w:rPr>
                <w:rFonts w:hint="eastAsia"/>
                <w:sz w:val="21"/>
                <w:szCs w:val="21"/>
              </w:rPr>
              <w:t xml:space="preserve"> ，根据国家</w:t>
            </w:r>
            <w:r>
              <w:rPr>
                <w:rFonts w:hint="eastAsia"/>
                <w:sz w:val="21"/>
                <w:szCs w:val="21"/>
                <w:lang w:eastAsia="zh-CN"/>
              </w:rPr>
              <w:t>相关法律法规</w:t>
            </w:r>
            <w:r>
              <w:rPr>
                <w:rFonts w:hint="eastAsia"/>
                <w:sz w:val="21"/>
                <w:szCs w:val="21"/>
              </w:rPr>
              <w:t>标准及</w:t>
            </w:r>
            <w:r>
              <w:rPr>
                <w:rFonts w:hint="eastAsia"/>
                <w:sz w:val="21"/>
                <w:szCs w:val="21"/>
                <w:lang w:eastAsia="zh-CN"/>
              </w:rPr>
              <w:t>作业规范</w:t>
            </w:r>
            <w:r>
              <w:rPr>
                <w:rFonts w:hint="eastAsia"/>
                <w:sz w:val="21"/>
                <w:szCs w:val="21"/>
              </w:rPr>
              <w:t>执行</w:t>
            </w:r>
            <w:r>
              <w:rPr>
                <w:rFonts w:hint="eastAsia"/>
                <w:sz w:val="21"/>
                <w:szCs w:val="21"/>
                <w:lang w:eastAsia="zh-CN"/>
              </w:rPr>
              <w:t>和客户技术要求执行</w:t>
            </w:r>
            <w:r>
              <w:rPr>
                <w:rFonts w:hint="eastAsia"/>
                <w:sz w:val="21"/>
                <w:szCs w:val="21"/>
              </w:rPr>
              <w:t>，</w:t>
            </w:r>
            <w:r>
              <w:rPr>
                <w:rFonts w:hint="eastAsia"/>
                <w:sz w:val="21"/>
                <w:szCs w:val="21"/>
                <w:lang w:eastAsia="zh-CN"/>
              </w:rPr>
              <w:t>生产工艺成熟，</w:t>
            </w:r>
            <w:r>
              <w:rPr>
                <w:rFonts w:hint="eastAsia"/>
                <w:sz w:val="21"/>
                <w:szCs w:val="21"/>
              </w:rPr>
              <w:t xml:space="preserve">暂不涉及设计开发，该条款不适用。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tabs>
                <w:tab w:val="left" w:pos="703"/>
              </w:tabs>
              <w:ind w:left="420" w:leftChars="200"/>
              <w:jc w:val="both"/>
              <w:rPr>
                <w:rFonts w:ascii="宋体" w:hAnsi="宋体"/>
                <w:szCs w:val="21"/>
                <w:lang w:eastAsia="zh-CN"/>
              </w:rPr>
            </w:pPr>
            <w:r>
              <w:rPr>
                <w:rFonts w:hint="eastAsia" w:ascii="宋体" w:hAnsi="宋体"/>
                <w:szCs w:val="21"/>
                <w:lang w:eastAsia="zh-CN"/>
              </w:rPr>
              <w:t>a）</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企业状况调查!R18C2 \a \t  \* MERGEFORMAT </w:instrText>
            </w:r>
            <w:r>
              <w:rPr>
                <w:rFonts w:hint="eastAsia" w:ascii="宋体" w:hAnsi="宋体"/>
                <w:szCs w:val="21"/>
                <w:lang w:eastAsia="zh-CN"/>
              </w:rPr>
              <w:fldChar w:fldCharType="separate"/>
            </w:r>
            <w:r>
              <w:rPr>
                <w:rFonts w:hint="eastAsia" w:ascii="宋体" w:hAnsi="宋体"/>
                <w:szCs w:val="21"/>
                <w:lang w:eastAsia="zh-CN"/>
              </w:rPr>
              <w:t>采购合格率≥98%</w:t>
            </w:r>
            <w:r>
              <w:rPr>
                <w:rFonts w:hint="eastAsia" w:ascii="宋体" w:hAnsi="宋体"/>
                <w:szCs w:val="21"/>
                <w:lang w:eastAsia="zh-CN"/>
              </w:rPr>
              <w:fldChar w:fldCharType="end"/>
            </w:r>
          </w:p>
          <w:p>
            <w:pPr>
              <w:tabs>
                <w:tab w:val="left" w:pos="703"/>
              </w:tabs>
              <w:ind w:left="420" w:leftChars="200"/>
              <w:jc w:val="both"/>
              <w:rPr>
                <w:rFonts w:ascii="宋体" w:hAnsi="宋体"/>
                <w:szCs w:val="21"/>
                <w:lang w:eastAsia="zh-CN"/>
              </w:rPr>
            </w:pPr>
            <w:r>
              <w:rPr>
                <w:rFonts w:hint="eastAsia" w:ascii="宋体" w:hAnsi="宋体"/>
                <w:szCs w:val="21"/>
                <w:lang w:eastAsia="zh-CN"/>
              </w:rPr>
              <w:t>b）</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企业状况调查!R19C2 \a \t  \* MERGEFORMAT </w:instrText>
            </w:r>
            <w:r>
              <w:rPr>
                <w:rFonts w:hint="eastAsia" w:ascii="宋体" w:hAnsi="宋体"/>
                <w:szCs w:val="21"/>
                <w:lang w:eastAsia="zh-CN"/>
              </w:rPr>
              <w:fldChar w:fldCharType="separate"/>
            </w:r>
            <w:r>
              <w:rPr>
                <w:rFonts w:hint="eastAsia" w:ascii="宋体" w:hAnsi="宋体"/>
                <w:szCs w:val="21"/>
                <w:lang w:eastAsia="zh-CN"/>
              </w:rPr>
              <w:t>客户满意率≥9</w:t>
            </w:r>
            <w:r>
              <w:rPr>
                <w:rFonts w:hint="eastAsia" w:ascii="宋体" w:hAnsi="宋体"/>
                <w:szCs w:val="21"/>
                <w:lang w:val="en-US" w:eastAsia="zh-CN"/>
              </w:rPr>
              <w:t>6.5</w:t>
            </w:r>
            <w:r>
              <w:rPr>
                <w:rFonts w:hint="eastAsia" w:ascii="宋体" w:hAnsi="宋体"/>
                <w:szCs w:val="21"/>
                <w:lang w:eastAsia="zh-CN"/>
              </w:rPr>
              <w:t>%</w:t>
            </w:r>
            <w:r>
              <w:rPr>
                <w:rFonts w:hint="eastAsia" w:ascii="宋体" w:hAnsi="宋体"/>
                <w:szCs w:val="21"/>
                <w:lang w:eastAsia="zh-CN"/>
              </w:rPr>
              <w:fldChar w:fldCharType="end"/>
            </w:r>
          </w:p>
          <w:p>
            <w:pPr>
              <w:tabs>
                <w:tab w:val="left" w:pos="703"/>
              </w:tabs>
              <w:ind w:left="420" w:leftChars="200"/>
              <w:jc w:val="both"/>
              <w:rPr>
                <w:rFonts w:ascii="宋体" w:hAnsi="宋体"/>
                <w:b/>
                <w:color w:val="000000" w:themeColor="text1"/>
              </w:rPr>
            </w:pPr>
            <w:r>
              <w:rPr>
                <w:rFonts w:hint="eastAsia" w:ascii="宋体" w:hAnsi="宋体"/>
                <w:szCs w:val="21"/>
                <w:lang w:eastAsia="zh-CN"/>
              </w:rPr>
              <w:t>c）</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企业状况调查!R20C2 \a \t  \* MERGEFORMAT </w:instrText>
            </w:r>
            <w:r>
              <w:rPr>
                <w:rFonts w:hint="eastAsia" w:ascii="宋体" w:hAnsi="宋体"/>
                <w:szCs w:val="21"/>
                <w:lang w:eastAsia="zh-CN"/>
              </w:rPr>
              <w:fldChar w:fldCharType="separate"/>
            </w:r>
            <w:r>
              <w:rPr>
                <w:rFonts w:hint="eastAsia" w:ascii="宋体" w:hAnsi="宋体"/>
                <w:szCs w:val="21"/>
                <w:lang w:eastAsia="zh-CN"/>
              </w:rPr>
              <w:t>产品按时交付率≥95%</w:t>
            </w:r>
            <w:r>
              <w:rPr>
                <w:rFonts w:hint="eastAsia" w:ascii="宋体" w:hAnsi="宋体"/>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bCs/>
                <w:iCs/>
                <w:szCs w:val="22"/>
                <w:lang w:eastAsia="zh-CN"/>
              </w:rPr>
              <w:t>通用小型汽油机（许可证范围内）、汽油发电机组、汽油水泵机组的生产</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cs="宋体"/>
                <w:color w:val="000000" w:themeColor="text1"/>
                <w:sz w:val="21"/>
                <w:szCs w:val="21"/>
                <w:lang w:eastAsia="zh-CN"/>
              </w:rPr>
              <w:t>生产面积</w:t>
            </w:r>
            <w:r>
              <w:rPr>
                <w:rFonts w:hint="eastAsia" w:ascii="宋体" w:hAnsi="宋体" w:cs="宋体"/>
                <w:color w:val="000000" w:themeColor="text1"/>
                <w:sz w:val="21"/>
                <w:szCs w:val="21"/>
                <w:lang w:val="en-US" w:eastAsia="zh-CN"/>
              </w:rPr>
              <w:t>8000</w:t>
            </w:r>
            <w:r>
              <w:rPr>
                <w:rFonts w:hint="eastAsia" w:ascii="宋体" w:hAnsi="宋体" w:cs="宋体"/>
                <w:color w:val="000000" w:themeColor="text1"/>
                <w:sz w:val="21"/>
                <w:szCs w:val="21"/>
                <w:lang w:eastAsia="zh-CN"/>
              </w:rPr>
              <w:t>平方米左右（含库房）、办公面积为</w:t>
            </w:r>
            <w:r>
              <w:rPr>
                <w:rFonts w:hint="eastAsia" w:ascii="宋体" w:hAnsi="宋体" w:cs="宋体"/>
                <w:color w:val="000000" w:themeColor="text1"/>
                <w:sz w:val="21"/>
                <w:szCs w:val="21"/>
                <w:lang w:val="en-US" w:eastAsia="zh-CN"/>
              </w:rPr>
              <w:t>150</w:t>
            </w:r>
            <w:r>
              <w:rPr>
                <w:rFonts w:hint="eastAsia" w:ascii="宋体" w:hAnsi="宋体" w:cs="宋体"/>
                <w:color w:val="000000" w:themeColor="text1"/>
                <w:sz w:val="21"/>
                <w:szCs w:val="21"/>
                <w:lang w:eastAsia="zh-CN"/>
              </w:rPr>
              <w:t>平方米左右，</w:t>
            </w:r>
            <w:r>
              <w:rPr>
                <w:rFonts w:hint="eastAsia" w:ascii="宋体" w:hAnsi="宋体" w:cs="宋体"/>
                <w:color w:val="000000" w:themeColor="text1"/>
                <w:sz w:val="21"/>
                <w:szCs w:val="21"/>
                <w:lang w:eastAsia="zh-CN"/>
              </w:rPr>
              <w:t>库房与生产场所分区，主要设备为：动力装配线、机组装配线、涡轮测功台、扳手、气动枪、空压机、装配工装、动力在线测试系统、打标机、包装流水线等</w:t>
            </w:r>
            <w:r>
              <w:rPr>
                <w:rFonts w:hint="eastAsia" w:ascii="宋体" w:hAnsi="宋体" w:cs="宋体"/>
                <w:color w:val="000000" w:themeColor="text1"/>
                <w:sz w:val="21"/>
                <w:szCs w:val="21"/>
                <w:lang w:eastAsia="zh-CN"/>
              </w:rPr>
              <w:t>，可以满足生产需要。对设备按月方式进行点检维护保养，并实施。特种设备：无</w:t>
            </w:r>
            <w:r>
              <w:rPr>
                <w:rFonts w:hint="eastAsia" w:ascii="宋体" w:hAnsi="宋体" w:cs="宋体"/>
                <w:color w:val="000000" w:themeColor="text1"/>
                <w:sz w:val="21"/>
                <w:szCs w:val="21"/>
                <w:lang w:eastAsia="zh-CN"/>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bCs/>
                <w:iCs/>
                <w:szCs w:val="22"/>
                <w:lang w:eastAsia="zh-CN"/>
              </w:rPr>
              <w:t>行政部及库房</w:t>
            </w:r>
            <w:r>
              <w:rPr>
                <w:rFonts w:hint="eastAsia" w:ascii="宋体" w:hAnsi="宋体"/>
                <w:bCs/>
                <w:iCs/>
                <w:szCs w:val="22"/>
              </w:rPr>
              <w:t>内设备布置合理，通道畅通，照明设施齐全，均配备了消防设施等设施。</w:t>
            </w:r>
            <w:r>
              <w:rPr>
                <w:rFonts w:hint="eastAsia" w:ascii="宋体" w:hAnsi="宋体"/>
                <w:bCs/>
                <w:iCs/>
                <w:szCs w:val="22"/>
                <w:lang w:eastAsia="zh-CN"/>
              </w:rPr>
              <w:t>行政部</w:t>
            </w:r>
            <w:r>
              <w:rPr>
                <w:rFonts w:hint="eastAsia" w:ascii="宋体" w:hAnsi="宋体"/>
                <w:bCs/>
                <w:iCs/>
                <w:szCs w:val="22"/>
              </w:rPr>
              <w:t>明亮，作业场所光线较充足。每月由</w:t>
            </w:r>
            <w:r>
              <w:rPr>
                <w:rFonts w:hint="eastAsia" w:ascii="宋体" w:hAnsi="宋体"/>
                <w:bCs/>
                <w:iCs/>
                <w:szCs w:val="22"/>
                <w:lang w:eastAsia="zh-CN"/>
              </w:rPr>
              <w:t>综合</w:t>
            </w:r>
            <w:r>
              <w:rPr>
                <w:rFonts w:hint="eastAsia" w:ascii="宋体" w:hAnsi="宋体"/>
                <w:bCs/>
                <w:iCs/>
                <w:szCs w:val="22"/>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szCs w:val="21"/>
                <w:lang w:eastAsia="zh-CN"/>
              </w:rPr>
              <w:t>技术</w:t>
            </w:r>
            <w:r>
              <w:rPr>
                <w:rFonts w:hint="eastAsia" w:ascii="宋体" w:hAnsi="宋体" w:cs="宋体"/>
                <w:color w:val="000000" w:themeColor="text1"/>
                <w:szCs w:val="21"/>
              </w:rPr>
              <w:t>部门均按策划的要求配置了相应的检测设备，均采用委外送检的方式。抽在用检具的检定</w:t>
            </w:r>
            <w:r>
              <w:rPr>
                <w:rFonts w:hint="eastAsia" w:ascii="宋体" w:hAnsi="宋体" w:cs="宋体"/>
                <w:color w:val="000000" w:themeColor="text1"/>
                <w:szCs w:val="21"/>
                <w:lang w:eastAsia="zh-CN"/>
              </w:rPr>
              <w:t>校准情况，能提供有效校准证书。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出厂交付前予以监控检测</w:t>
            </w:r>
            <w:r>
              <w:rPr>
                <w:rFonts w:hint="eastAsia" w:ascii="宋体" w:hAnsi="宋体" w:cs="宋体"/>
                <w:color w:val="000000"/>
                <w:szCs w:val="21"/>
              </w:rPr>
              <w:t>，范围包括：过程、最终产品。以此保证持续向顾客稳定提供稳定合格的产品。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lang w:eastAsia="zh-CN"/>
              </w:rPr>
              <w:t>运行控制记录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FF0000"/>
                <w:sz w:val="20"/>
                <w:szCs w:val="20"/>
              </w:rPr>
              <w:t>.</w:t>
            </w:r>
            <w:r>
              <w:rPr>
                <w:rFonts w:hint="eastAsia"/>
                <w:b/>
                <w:color w:val="000000" w:themeColor="text1"/>
                <w:sz w:val="20"/>
                <w:szCs w:val="20"/>
              </w:rPr>
              <w:t>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20" w:firstLineChars="200"/>
              <w:rPr>
                <w:b/>
                <w:color w:val="000000" w:themeColor="text1"/>
                <w:sz w:val="20"/>
                <w:szCs w:val="20"/>
              </w:rPr>
            </w:pPr>
            <w:r>
              <w:rPr>
                <w:rFonts w:hint="eastAsia" w:ascii="宋体" w:hAnsi="宋体" w:cs="宋体"/>
                <w:color w:val="000000"/>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rFonts w:hint="eastAsia"/>
                <w:b/>
                <w:color w:val="000000" w:themeColor="text1"/>
                <w:sz w:val="20"/>
                <w:szCs w:val="20"/>
              </w:rPr>
            </w:pPr>
            <w:r>
              <w:rPr>
                <w:rFonts w:hint="eastAsia"/>
                <w:b/>
                <w:color w:val="000000" w:themeColor="text1"/>
                <w:sz w:val="20"/>
                <w:szCs w:val="20"/>
              </w:rPr>
              <w:t>10. 对特种设备的维护; （适用时）</w:t>
            </w:r>
          </w:p>
          <w:p>
            <w:pPr>
              <w:spacing w:line="240" w:lineRule="exact"/>
              <w:ind w:left="201" w:hanging="201" w:hangingChars="100"/>
              <w:rPr>
                <w:rFonts w:hint="eastAsia" w:eastAsia="宋体"/>
                <w:b/>
                <w:color w:val="000000" w:themeColor="text1"/>
                <w:sz w:val="20"/>
                <w:szCs w:val="20"/>
                <w:lang w:val="en-US"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4-9月质量</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rPr>
              <w:t>2019年</w:t>
            </w:r>
            <w:r>
              <w:rPr>
                <w:rFonts w:hint="eastAsia"/>
                <w:sz w:val="21"/>
                <w:szCs w:val="21"/>
                <w:lang w:val="en-US" w:eastAsia="zh-CN"/>
              </w:rPr>
              <w:t>6</w:t>
            </w:r>
            <w:r>
              <w:rPr>
                <w:rFonts w:hint="eastAsia"/>
                <w:sz w:val="21"/>
                <w:szCs w:val="21"/>
              </w:rPr>
              <w:t>月</w:t>
            </w:r>
            <w:r>
              <w:rPr>
                <w:rFonts w:hint="eastAsia"/>
                <w:sz w:val="21"/>
                <w:szCs w:val="21"/>
                <w:lang w:val="en-US" w:eastAsia="zh-CN"/>
              </w:rPr>
              <w:t>20</w:t>
            </w:r>
            <w:r>
              <w:rPr>
                <w:rFonts w:hint="eastAsia"/>
                <w:sz w:val="21"/>
                <w:szCs w:val="21"/>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 xml:space="preserve"> 涉及</w:t>
            </w:r>
            <w:r>
              <w:rPr>
                <w:rFonts w:hint="eastAsia"/>
                <w:sz w:val="21"/>
                <w:szCs w:val="21"/>
                <w:lang w:eastAsia="zh-CN"/>
              </w:rPr>
              <w:t>供销部</w:t>
            </w:r>
            <w:r>
              <w:rPr>
                <w:rFonts w:hint="eastAsia"/>
                <w:sz w:val="21"/>
                <w:szCs w:val="21"/>
                <w:lang w:val="en-US" w:eastAsia="zh-CN"/>
              </w:rPr>
              <w:t>8.4.2</w:t>
            </w:r>
            <w:r>
              <w:rPr>
                <w:rFonts w:hint="eastAsia"/>
                <w:sz w:val="21"/>
                <w:szCs w:val="21"/>
              </w:rPr>
              <w:t>没能提供对供应商送过来的一批材料进行检验的证据，针对该不符合项，已及时采取纠正措施后，经内审员验证关闭。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2019</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120</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宋体"/>
                <w:b/>
                <w:bCs/>
                <w:color w:val="000000" w:themeColor="text1"/>
                <w:lang w:eastAsia="zh-CN"/>
              </w:rPr>
            </w:pPr>
            <w:r>
              <w:rPr>
                <w:rFonts w:hint="eastAsia" w:ascii="宋体" w:hAnsi="宋体" w:cs="宋体"/>
                <w:b/>
                <w:bCs/>
                <w:color w:val="000000" w:themeColor="text1"/>
                <w:lang w:eastAsia="zh-CN"/>
              </w:rPr>
              <w:t>3. 一阶段提出问题的整改情况?</w:t>
            </w:r>
          </w:p>
          <w:p>
            <w:pPr>
              <w:spacing w:line="400" w:lineRule="exact"/>
              <w:ind w:firstLine="420" w:firstLineChars="200"/>
              <w:rPr>
                <w:rFonts w:hint="eastAsia"/>
                <w:b/>
                <w:color w:val="000000" w:themeColor="text1"/>
                <w:spacing w:val="-20"/>
                <w:sz w:val="20"/>
                <w:szCs w:val="20"/>
                <w:lang w:eastAsia="zh-CN"/>
              </w:rPr>
            </w:pPr>
            <w:r>
              <w:rPr>
                <w:rFonts w:hint="eastAsia" w:ascii="宋体" w:hAnsi="宋体" w:cs="宋体"/>
                <w:color w:val="000000" w:themeColor="text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w:t>
      </w:r>
      <w:r>
        <w:rPr>
          <w:rFonts w:hint="eastAsia"/>
          <w:b/>
          <w:bCs/>
          <w:color w:val="000000" w:themeColor="text1"/>
          <w:szCs w:val="28"/>
          <w14:textFill>
            <w14:solidFill>
              <w14:schemeClr w14:val="tx1"/>
            </w14:solidFill>
          </w14:textFill>
        </w:rPr>
        <w:t>本次审核共开具</w:t>
      </w:r>
      <w:r>
        <w:rPr>
          <w:rFonts w:hint="eastAsia"/>
          <w:b/>
          <w:bCs/>
          <w:color w:val="000000" w:themeColor="text1"/>
          <w:szCs w:val="28"/>
          <w:lang w:val="en-US" w:eastAsia="zh-CN"/>
          <w14:textFill>
            <w14:solidFill>
              <w14:schemeClr w14:val="tx1"/>
            </w14:solidFill>
          </w14:textFill>
        </w:rPr>
        <w:t>Q</w:t>
      </w:r>
      <w:r>
        <w:rPr>
          <w:rFonts w:hint="eastAsia"/>
          <w:b/>
          <w:bCs/>
          <w:color w:val="000000" w:themeColor="text1"/>
          <w:szCs w:val="28"/>
          <w14:textFill>
            <w14:solidFill>
              <w14:schemeClr w14:val="tx1"/>
            </w14:solidFill>
          </w14:textFill>
        </w:rPr>
        <w:t xml:space="preserve">不符合项报告 </w:t>
      </w:r>
      <w:r>
        <w:rPr>
          <w:rFonts w:hint="eastAsia"/>
          <w:b/>
          <w:bCs/>
          <w:color w:val="000000" w:themeColor="text1"/>
          <w:szCs w:val="28"/>
          <w:lang w:val="en-US" w:eastAsia="zh-CN"/>
          <w14:textFill>
            <w14:solidFill>
              <w14:schemeClr w14:val="tx1"/>
            </w14:solidFill>
          </w14:textFill>
        </w:rPr>
        <w:t>1</w:t>
      </w:r>
      <w:r>
        <w:rPr>
          <w:rFonts w:hint="eastAsia"/>
          <w:b/>
          <w:bCs/>
          <w:color w:val="000000" w:themeColor="text1"/>
          <w:szCs w:val="28"/>
          <w14:textFill>
            <w14:solidFill>
              <w14:schemeClr w14:val="tx1"/>
            </w14:solidFill>
          </w14:textFill>
        </w:rPr>
        <w:t xml:space="preserve"> 项；其中</w:t>
      </w:r>
      <w:r>
        <w:rPr>
          <w:rFonts w:hint="eastAsia"/>
          <w:b/>
          <w:bCs/>
          <w:color w:val="000000" w:themeColor="text1"/>
          <w:szCs w:val="28"/>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bCs/>
          <w:color w:val="000000" w:themeColor="text1"/>
          <w:szCs w:val="28"/>
          <w14:textFill>
            <w14:solidFill>
              <w14:schemeClr w14:val="tx1"/>
            </w14:solidFill>
          </w14:textFill>
        </w:rPr>
        <w:t xml:space="preserve">严重不符合 </w:t>
      </w:r>
      <w:r>
        <w:rPr>
          <w:rFonts w:hint="eastAsia"/>
          <w:b/>
          <w:bCs/>
          <w:color w:val="000000" w:themeColor="text1"/>
          <w:szCs w:val="28"/>
          <w:lang w:val="en-US" w:eastAsia="zh-CN"/>
          <w14:textFill>
            <w14:solidFill>
              <w14:schemeClr w14:val="tx1"/>
            </w14:solidFill>
          </w14:textFill>
        </w:rPr>
        <w:t>0</w:t>
      </w:r>
      <w:r>
        <w:rPr>
          <w:rFonts w:hint="eastAsia"/>
          <w:b/>
          <w:bCs/>
          <w:color w:val="000000" w:themeColor="text1"/>
          <w:szCs w:val="28"/>
          <w14:textFill>
            <w14:solidFill>
              <w14:schemeClr w14:val="tx1"/>
            </w14:solidFill>
          </w14:textFill>
        </w:rPr>
        <w:t xml:space="preserve"> 项，一般不符合 </w:t>
      </w:r>
      <w:r>
        <w:rPr>
          <w:rFonts w:hint="eastAsia"/>
          <w:b/>
          <w:bCs/>
          <w:color w:val="000000" w:themeColor="text1"/>
          <w:szCs w:val="28"/>
          <w:lang w:val="en-US" w:eastAsia="zh-CN"/>
          <w14:textFill>
            <w14:solidFill>
              <w14:schemeClr w14:val="tx1"/>
            </w14:solidFill>
          </w14:textFill>
        </w:rPr>
        <w:t>1</w:t>
      </w:r>
      <w:r>
        <w:rPr>
          <w:rFonts w:hint="eastAsia"/>
          <w:b/>
          <w:bCs/>
          <w:color w:val="000000" w:themeColor="text1"/>
          <w:szCs w:val="28"/>
          <w14:textFill>
            <w14:solidFill>
              <w14:schemeClr w14:val="tx1"/>
            </w14:solidFill>
          </w14:textFill>
        </w:rPr>
        <w:t xml:space="preserve">项，观察项 </w:t>
      </w:r>
      <w:r>
        <w:rPr>
          <w:rFonts w:hint="eastAsia"/>
          <w:b/>
          <w:bCs/>
          <w:color w:val="000000" w:themeColor="text1"/>
          <w:szCs w:val="28"/>
          <w:lang w:val="en-US" w:eastAsia="zh-CN"/>
          <w14:textFill>
            <w14:solidFill>
              <w14:schemeClr w14:val="tx1"/>
            </w14:solidFill>
          </w14:textFill>
        </w:rPr>
        <w:t>3</w:t>
      </w:r>
      <w:r>
        <w:rPr>
          <w:rFonts w:hint="eastAsia"/>
          <w:b/>
          <w:bCs/>
          <w:color w:val="000000" w:themeColor="text1"/>
          <w:szCs w:val="28"/>
          <w14:textFill>
            <w14:solidFill>
              <w14:schemeClr w14:val="tx1"/>
            </w14:solidFill>
          </w14:textFill>
        </w:rPr>
        <w:t>项，分布在</w:t>
      </w:r>
      <w:r>
        <w:rPr>
          <w:rFonts w:hint="eastAsia"/>
          <w:b/>
          <w:bCs/>
          <w:color w:val="000000" w:themeColor="text1"/>
          <w:szCs w:val="28"/>
          <w:lang w:eastAsia="zh-CN"/>
          <w14:textFill>
            <w14:solidFill>
              <w14:schemeClr w14:val="tx1"/>
            </w14:solidFill>
          </w14:textFill>
        </w:rPr>
        <w:t>生技部</w:t>
      </w:r>
      <w:r>
        <w:rPr>
          <w:rFonts w:hint="eastAsia"/>
          <w:b/>
          <w:bCs/>
          <w:color w:val="000000" w:themeColor="text1"/>
          <w:szCs w:val="28"/>
          <w14:textFill>
            <w14:solidFill>
              <w14:schemeClr w14:val="tx1"/>
            </w14:solidFill>
          </w14:textFill>
        </w:rPr>
        <w:t>部门条款</w:t>
      </w:r>
      <w:r>
        <w:rPr>
          <w:rFonts w:hint="eastAsia"/>
          <w:b/>
          <w:bCs/>
          <w:color w:val="000000" w:themeColor="text1"/>
          <w:szCs w:val="28"/>
          <w:lang w:val="en-US" w:eastAsia="zh-CN"/>
          <w14:textFill>
            <w14:solidFill>
              <w14:schemeClr w14:val="tx1"/>
            </w14:solidFill>
          </w14:textFill>
        </w:rPr>
        <w:t>8.4.1，</w:t>
      </w:r>
      <w:r>
        <w:rPr>
          <w:rFonts w:hint="eastAsia"/>
          <w:b/>
          <w:bCs/>
          <w:color w:val="000000" w:themeColor="text1"/>
          <w:szCs w:val="28"/>
          <w14:textFill>
            <w14:solidFill>
              <w14:schemeClr w14:val="tx1"/>
            </w14:solidFill>
          </w14:textFill>
        </w:rPr>
        <w:t>分布见附</w:t>
      </w:r>
      <w:r>
        <w:rPr>
          <w:rFonts w:hint="eastAsia"/>
          <w:b/>
          <w:color w:val="000000" w:themeColor="text1"/>
          <w14:textFill>
            <w14:solidFill>
              <w14:schemeClr w14:val="tx1"/>
            </w14:solidFill>
          </w14:textFill>
        </w:rPr>
        <w:t>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lang w:eastAsia="zh-CN"/>
              </w:rPr>
              <w:t>□</w:t>
            </w:r>
            <w:r>
              <w:rPr>
                <w:rFonts w:hint="eastAsia"/>
                <w:b/>
                <w:color w:val="000000" w:themeColor="text1"/>
                <w:sz w:val="22"/>
                <w:szCs w:val="22"/>
              </w:rPr>
              <w:t xml:space="preserve">EMS  </w:t>
            </w:r>
            <w:r>
              <w:rPr>
                <w:rFonts w:hint="eastAsia"/>
                <w:b/>
                <w:sz w:val="26"/>
                <w:szCs w:val="26"/>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rFonts w:hint="eastAsia" w:eastAsia="宋体"/>
                <w:b/>
                <w:color w:val="000000" w:themeColor="text1"/>
                <w:lang w:eastAsia="zh-CN"/>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sz w:val="20"/>
                <w:szCs w:val="20"/>
                <w:lang w:eastAsia="zh-CN"/>
              </w:rPr>
              <w:t xml:space="preserve">通用小型汽油机（许可证范围内）、汽油发电机组、汽油水泵机组的生产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lang w:eastAsia="zh-CN"/>
              </w:rPr>
              <w:t>□</w:t>
            </w:r>
            <w:r>
              <w:rPr>
                <w:rFonts w:hint="eastAsia"/>
                <w:b/>
                <w:color w:val="000000" w:themeColor="text1"/>
                <w:szCs w:val="21"/>
              </w:rPr>
              <w:t xml:space="preserve">EMS   </w:t>
            </w:r>
            <w:r>
              <w:rPr>
                <w:rFonts w:hint="eastAsia"/>
                <w:b/>
                <w:sz w:val="26"/>
                <w:szCs w:val="26"/>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Lines="50"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numPr>
          <w:ilvl w:val="0"/>
          <w:numId w:val="0"/>
        </w:numPr>
        <w:spacing w:beforeLines="50" w:afterLines="50"/>
        <w:ind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line="360" w:lineRule="auto"/>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1.  审核中发现的</w:t>
      </w:r>
      <w:r>
        <w:rPr>
          <w:rFonts w:hint="eastAsia"/>
          <w:b/>
          <w:color w:val="000000" w:themeColor="text1"/>
          <w:lang w:eastAsia="zh-CN"/>
          <w14:textFill>
            <w14:solidFill>
              <w14:schemeClr w14:val="tx1"/>
            </w14:solidFill>
          </w14:textFill>
        </w:rPr>
        <w:t>☑</w:t>
      </w:r>
      <w:r>
        <w:rPr>
          <w:rFonts w:hint="eastAsia"/>
          <w:b/>
          <w:color w:val="000000" w:themeColor="text1"/>
          <w14:textFill>
            <w14:solidFill>
              <w14:schemeClr w14:val="tx1"/>
            </w14:solidFill>
          </w14:textFill>
        </w:rPr>
        <w:t xml:space="preserve">QMS(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)个一般不符合，(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 xml:space="preserve"> )个严重不符合，</w:t>
      </w:r>
      <w:r>
        <w:rPr>
          <w:rFonts w:hint="eastAsia"/>
          <w:b/>
          <w:color w:val="000000" w:themeColor="text1"/>
          <w:lang w:eastAsia="zh-CN"/>
          <w14:textFill>
            <w14:solidFill>
              <w14:schemeClr w14:val="tx1"/>
            </w14:solidFill>
          </w14:textFill>
        </w:rPr>
        <w:t>☑</w:t>
      </w:r>
      <w:r>
        <w:rPr>
          <w:rFonts w:hint="eastAsia"/>
          <w:b/>
          <w:color w:val="000000" w:themeColor="text1"/>
          <w14:textFill>
            <w14:solidFill>
              <w14:schemeClr w14:val="tx1"/>
            </w14:solidFill>
          </w14:textFill>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w:t>
      </w:r>
      <w:bookmarkStart w:id="19" w:name="_GoBack"/>
      <w:bookmarkEnd w:id="19"/>
      <w:r>
        <w:rPr>
          <w:rFonts w:hint="eastAsia"/>
          <w:b/>
          <w:color w:val="000000" w:themeColor="text1"/>
          <w:szCs w:val="21"/>
        </w:rPr>
        <w:t>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w:t>
      </w:r>
      <w:r>
        <w:rPr>
          <w:rFonts w:hint="eastAsia"/>
          <w:b/>
          <w:color w:val="000000" w:themeColor="text1"/>
          <w:lang w:eastAsia="zh-CN"/>
        </w:rPr>
        <w:t>：</w:t>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1. 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napToGrid/>
        <w:spacing w:line="240" w:lineRule="atLeast"/>
        <w:ind w:left="-850" w:leftChars="-405"/>
        <w:textAlignment w:val="auto"/>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color w:val="000000" w:themeColor="text1"/>
          <w:szCs w:val="21"/>
        </w:rPr>
        <w:t>4. 公正性声明和审核报告签字处需本人亲笔签名。</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keepNext w:val="0"/>
        <w:keepLines w:val="0"/>
        <w:pageBreakBefore w:val="0"/>
        <w:widowControl w:val="0"/>
        <w:kinsoku/>
        <w:wordWrap/>
        <w:overflowPunct/>
        <w:topLinePunct w:val="0"/>
        <w:autoSpaceDE/>
        <w:autoSpaceDN/>
        <w:bidi w:val="0"/>
        <w:adjustRightInd/>
        <w:snapToGrid/>
        <w:spacing w:line="240" w:lineRule="atLeast"/>
        <w:ind w:left="-144" w:leftChars="-405" w:hanging="706" w:hangingChars="335"/>
        <w:textAlignment w:val="auto"/>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8"/>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E6639D07"/>
    <w:multiLevelType w:val="singleLevel"/>
    <w:tmpl w:val="E6639D07"/>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F0F10"/>
    <w:rsid w:val="00EF1481"/>
    <w:rsid w:val="00F326DC"/>
    <w:rsid w:val="00F64301"/>
    <w:rsid w:val="00F86288"/>
    <w:rsid w:val="00FA5C98"/>
    <w:rsid w:val="00FD38F7"/>
    <w:rsid w:val="00FF14F7"/>
    <w:rsid w:val="00FF6078"/>
    <w:rsid w:val="01C75C71"/>
    <w:rsid w:val="059015A5"/>
    <w:rsid w:val="06F27F2D"/>
    <w:rsid w:val="07A84CB2"/>
    <w:rsid w:val="0AE52265"/>
    <w:rsid w:val="0B3A67C0"/>
    <w:rsid w:val="0CC7527B"/>
    <w:rsid w:val="1198680D"/>
    <w:rsid w:val="13560EA4"/>
    <w:rsid w:val="13655017"/>
    <w:rsid w:val="14DB0987"/>
    <w:rsid w:val="15146FD3"/>
    <w:rsid w:val="1ABB01D3"/>
    <w:rsid w:val="1ACD62B8"/>
    <w:rsid w:val="1C440198"/>
    <w:rsid w:val="1C5F0C83"/>
    <w:rsid w:val="1DCB178B"/>
    <w:rsid w:val="1F520E03"/>
    <w:rsid w:val="21611269"/>
    <w:rsid w:val="23401790"/>
    <w:rsid w:val="25CD1223"/>
    <w:rsid w:val="25E9315D"/>
    <w:rsid w:val="2D661B74"/>
    <w:rsid w:val="31170C1A"/>
    <w:rsid w:val="31621EA7"/>
    <w:rsid w:val="32B85DAD"/>
    <w:rsid w:val="36EC7F03"/>
    <w:rsid w:val="3B78211F"/>
    <w:rsid w:val="3C191EA6"/>
    <w:rsid w:val="3C6210A8"/>
    <w:rsid w:val="3CBF798D"/>
    <w:rsid w:val="3D174591"/>
    <w:rsid w:val="3F9E62B6"/>
    <w:rsid w:val="401450D1"/>
    <w:rsid w:val="4292115D"/>
    <w:rsid w:val="432329ED"/>
    <w:rsid w:val="455B7DE8"/>
    <w:rsid w:val="48212822"/>
    <w:rsid w:val="49FA7342"/>
    <w:rsid w:val="4B4A3A22"/>
    <w:rsid w:val="4B533431"/>
    <w:rsid w:val="4FDC604C"/>
    <w:rsid w:val="5C0F099A"/>
    <w:rsid w:val="5CDD1C2D"/>
    <w:rsid w:val="5EFD75ED"/>
    <w:rsid w:val="60402D9C"/>
    <w:rsid w:val="61A2120B"/>
    <w:rsid w:val="61CD371B"/>
    <w:rsid w:val="637F1FF3"/>
    <w:rsid w:val="653F2CB5"/>
    <w:rsid w:val="673B259B"/>
    <w:rsid w:val="68850E3C"/>
    <w:rsid w:val="689516D7"/>
    <w:rsid w:val="6A1418BC"/>
    <w:rsid w:val="6B364859"/>
    <w:rsid w:val="6C774540"/>
    <w:rsid w:val="6F5B59DC"/>
    <w:rsid w:val="71297C30"/>
    <w:rsid w:val="771F5F82"/>
    <w:rsid w:val="780960F1"/>
    <w:rsid w:val="780F0F53"/>
    <w:rsid w:val="7A642EC2"/>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rFonts w:ascii="Times New Roman" w:hAnsi="Times New Roman" w:eastAsia="宋体" w:cs="Times New Roman"/>
      <w:sz w:val="18"/>
      <w:szCs w:val="18"/>
    </w:rPr>
  </w:style>
  <w:style w:type="character" w:customStyle="1" w:styleId="12">
    <w:name w:val="页脚 Char"/>
    <w:basedOn w:val="8"/>
    <w:link w:val="3"/>
    <w:semiHidden/>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1"/>
    <w:basedOn w:val="8"/>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1466</Words>
  <Characters>8357</Characters>
  <Lines>69</Lines>
  <Paragraphs>19</Paragraphs>
  <TotalTime>2</TotalTime>
  <ScaleCrop>false</ScaleCrop>
  <LinksUpToDate>false</LinksUpToDate>
  <CharactersWithSpaces>9804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2019-10-18T08:41:19Z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