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before="163" w:beforeLines="50" w:after="163" w:afterLines="50"/>
        <w:rPr>
          <w:rFonts w:hint="eastAsia" w:ascii="宋体" w:hAnsi="宋体"/>
        </w:rPr>
      </w:pPr>
      <w:r>
        <w:rPr>
          <w:rFonts w:hint="eastAsia" w:ascii="宋体" w:hAnsi="宋体"/>
        </w:rPr>
        <w:t>审核现场及区域: 办公室   审核员：张</w:t>
      </w:r>
      <w:r>
        <w:rPr>
          <w:rFonts w:hint="eastAsia" w:ascii="宋体" w:hAnsi="宋体"/>
          <w:szCs w:val="22"/>
        </w:rPr>
        <w:t>心</w:t>
      </w:r>
      <w:r>
        <w:rPr>
          <w:rFonts w:hint="eastAsia" w:ascii="宋体" w:hAnsi="宋体"/>
          <w:szCs w:val="22"/>
          <w:lang w:val="en-US" w:eastAsia="zh-CN"/>
        </w:rPr>
        <w:t xml:space="preserve">    </w:t>
      </w:r>
      <w:r>
        <w:rPr>
          <w:rFonts w:hint="eastAsia" w:ascii="宋体" w:hAnsi="宋体"/>
        </w:rPr>
        <w:t xml:space="preserve">  审核时间:  </w:t>
      </w:r>
      <w:r>
        <w:rPr>
          <w:rFonts w:hint="eastAsia"/>
          <w:color w:val="000000"/>
          <w:szCs w:val="21"/>
        </w:rPr>
        <w:t xml:space="preserve">2019年10月12日 </w:t>
      </w:r>
    </w:p>
    <w:tbl>
      <w:tblPr>
        <w:tblStyle w:val="5"/>
        <w:tblpPr w:leftFromText="180" w:rightFromText="180" w:vertAnchor="text" w:horzAnchor="margin" w:tblpX="-333" w:tblpY="80"/>
        <w:tblW w:w="15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
      <w:tblGrid>
        <w:gridCol w:w="454"/>
        <w:gridCol w:w="6635"/>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188" w:hRule="atLeast"/>
        </w:trPr>
        <w:tc>
          <w:tcPr>
            <w:tcW w:w="454" w:type="dxa"/>
            <w:noWrap w:val="0"/>
            <w:vAlign w:val="center"/>
          </w:tcPr>
          <w:p>
            <w:pPr>
              <w:ind w:left="-105" w:leftChars="-50"/>
              <w:jc w:val="center"/>
              <w:rPr>
                <w:rFonts w:ascii="宋体" w:hAnsi="宋体"/>
                <w:b/>
                <w:szCs w:val="21"/>
              </w:rPr>
            </w:pPr>
            <w:r>
              <w:rPr>
                <w:rFonts w:hint="eastAsia" w:ascii="宋体" w:hAnsi="宋体"/>
                <w:b/>
                <w:szCs w:val="21"/>
              </w:rPr>
              <w:t xml:space="preserve"> 审</w:t>
            </w:r>
          </w:p>
          <w:p>
            <w:pPr>
              <w:ind w:left="-105" w:leftChars="-50"/>
              <w:jc w:val="center"/>
              <w:rPr>
                <w:rFonts w:ascii="宋体" w:hAnsi="宋体"/>
                <w:b/>
                <w:szCs w:val="21"/>
              </w:rPr>
            </w:pPr>
            <w:r>
              <w:rPr>
                <w:rFonts w:hint="eastAsia" w:ascii="宋体" w:hAnsi="宋体"/>
                <w:b/>
                <w:szCs w:val="21"/>
              </w:rPr>
              <w:t xml:space="preserve"> 核</w:t>
            </w:r>
          </w:p>
          <w:p>
            <w:pPr>
              <w:ind w:left="-105" w:leftChars="-50"/>
              <w:jc w:val="center"/>
              <w:rPr>
                <w:rFonts w:ascii="宋体" w:hAnsi="宋体"/>
                <w:b/>
                <w:szCs w:val="21"/>
              </w:rPr>
            </w:pPr>
            <w:r>
              <w:rPr>
                <w:rFonts w:hint="eastAsia" w:ascii="宋体" w:hAnsi="宋体"/>
                <w:b/>
                <w:szCs w:val="21"/>
              </w:rPr>
              <w:t xml:space="preserve"> 提</w:t>
            </w:r>
          </w:p>
          <w:p>
            <w:pPr>
              <w:ind w:left="-105" w:leftChars="-50"/>
              <w:jc w:val="center"/>
              <w:rPr>
                <w:rFonts w:ascii="仿宋_GB2312" w:hAnsi="Times" w:eastAsia="仿宋_GB2312"/>
                <w:b/>
                <w:bCs/>
                <w:szCs w:val="21"/>
              </w:rPr>
            </w:pPr>
            <w:r>
              <w:rPr>
                <w:rFonts w:hint="eastAsia" w:ascii="宋体" w:hAnsi="宋体"/>
                <w:b/>
                <w:szCs w:val="21"/>
              </w:rPr>
              <w:t xml:space="preserve"> 示</w:t>
            </w:r>
          </w:p>
        </w:tc>
        <w:tc>
          <w:tcPr>
            <w:tcW w:w="6635" w:type="dxa"/>
            <w:tcBorders>
              <w:right w:val="nil"/>
            </w:tcBorders>
            <w:noWrap w:val="0"/>
            <w:vAlign w:val="top"/>
          </w:tcPr>
          <w:p>
            <w:pPr>
              <w:spacing w:line="0" w:lineRule="atLeast"/>
              <w:rPr>
                <w:rFonts w:ascii="宋体" w:hAnsi="宋体"/>
                <w:sz w:val="21"/>
                <w:szCs w:val="21"/>
              </w:rPr>
            </w:pPr>
            <w:r>
              <w:rPr>
                <w:rFonts w:hint="eastAsia" w:ascii="宋体" w:hAnsi="宋体"/>
                <w:sz w:val="21"/>
                <w:szCs w:val="21"/>
              </w:rPr>
              <w:t>О涉及的管理体系要求、主管的过程要求、参与/协同实施的要求</w:t>
            </w:r>
          </w:p>
          <w:p>
            <w:pPr>
              <w:tabs>
                <w:tab w:val="left" w:pos="6375"/>
              </w:tabs>
              <w:spacing w:line="0" w:lineRule="atLeast"/>
              <w:rPr>
                <w:rFonts w:ascii="宋体" w:hAnsi="宋体"/>
                <w:sz w:val="21"/>
                <w:szCs w:val="21"/>
              </w:rPr>
            </w:pPr>
            <w:r>
              <w:rPr>
                <w:rFonts w:hint="eastAsia" w:ascii="宋体" w:hAnsi="宋体"/>
                <w:sz w:val="21"/>
                <w:szCs w:val="21"/>
              </w:rPr>
              <w:t>О过程模式/流程、环境因素/影响、危险源/风险评估及控制方案</w:t>
            </w:r>
          </w:p>
          <w:p>
            <w:pPr>
              <w:tabs>
                <w:tab w:val="left" w:pos="5337"/>
              </w:tabs>
              <w:spacing w:line="0" w:lineRule="atLeast"/>
              <w:rPr>
                <w:rFonts w:ascii="宋体" w:hAnsi="宋体"/>
                <w:sz w:val="21"/>
                <w:szCs w:val="21"/>
              </w:rPr>
            </w:pPr>
            <w:r>
              <w:rPr>
                <w:rFonts w:hint="eastAsia" w:ascii="宋体" w:hAnsi="宋体"/>
                <w:sz w:val="21"/>
                <w:szCs w:val="21"/>
              </w:rPr>
              <w:t>О职责和权限</w:t>
            </w:r>
          </w:p>
          <w:p>
            <w:pPr>
              <w:tabs>
                <w:tab w:val="left" w:pos="5974"/>
              </w:tabs>
              <w:spacing w:line="0" w:lineRule="atLeast"/>
              <w:rPr>
                <w:rFonts w:ascii="宋体" w:hAnsi="宋体"/>
                <w:sz w:val="21"/>
                <w:szCs w:val="21"/>
              </w:rPr>
            </w:pPr>
            <w:r>
              <w:rPr>
                <w:rFonts w:hint="eastAsia" w:ascii="宋体" w:hAnsi="宋体"/>
                <w:sz w:val="21"/>
                <w:szCs w:val="21"/>
              </w:rPr>
              <w:t>О目标分解及实施</w:t>
            </w:r>
          </w:p>
          <w:p>
            <w:pPr>
              <w:tabs>
                <w:tab w:val="left" w:pos="5337"/>
              </w:tabs>
              <w:spacing w:line="0" w:lineRule="atLeast"/>
              <w:rPr>
                <w:rFonts w:ascii="宋体" w:hAnsi="宋体"/>
                <w:sz w:val="21"/>
                <w:szCs w:val="21"/>
              </w:rPr>
            </w:pPr>
            <w:r>
              <w:rPr>
                <w:rFonts w:hint="eastAsia" w:ascii="宋体" w:hAnsi="宋体"/>
                <w:sz w:val="21"/>
                <w:szCs w:val="21"/>
              </w:rPr>
              <w:t>О资源配置：人力、设备设施、工作环境</w:t>
            </w:r>
          </w:p>
          <w:p>
            <w:pPr>
              <w:tabs>
                <w:tab w:val="left" w:pos="5337"/>
              </w:tabs>
              <w:spacing w:line="0" w:lineRule="atLeast"/>
              <w:rPr>
                <w:rFonts w:ascii="宋体" w:hAnsi="宋体"/>
                <w:sz w:val="21"/>
                <w:szCs w:val="21"/>
              </w:rPr>
            </w:pPr>
            <w:r>
              <w:rPr>
                <w:rFonts w:hint="eastAsia" w:ascii="宋体" w:hAnsi="宋体"/>
                <w:sz w:val="21"/>
                <w:szCs w:val="21"/>
              </w:rPr>
              <w:t>О信息、数据及沟通</w:t>
            </w:r>
          </w:p>
          <w:p>
            <w:pPr>
              <w:tabs>
                <w:tab w:val="left" w:pos="5337"/>
              </w:tabs>
              <w:spacing w:line="0" w:lineRule="atLeast"/>
              <w:rPr>
                <w:rFonts w:ascii="仿宋_GB2312" w:eastAsia="仿宋_GB2312"/>
                <w:sz w:val="18"/>
              </w:rPr>
            </w:pPr>
            <w:r>
              <w:rPr>
                <w:rFonts w:hint="eastAsia" w:ascii="宋体" w:hAnsi="宋体"/>
                <w:sz w:val="21"/>
                <w:szCs w:val="21"/>
              </w:rPr>
              <w:t>О审核范围现场确认</w:t>
            </w:r>
          </w:p>
        </w:tc>
        <w:tc>
          <w:tcPr>
            <w:tcW w:w="7960" w:type="dxa"/>
            <w:noWrap w:val="0"/>
            <w:vAlign w:val="top"/>
          </w:tcPr>
          <w:p>
            <w:pPr>
              <w:spacing w:line="0" w:lineRule="atLeast"/>
              <w:rPr>
                <w:rFonts w:ascii="宋体" w:hAnsi="宋体"/>
                <w:sz w:val="21"/>
                <w:szCs w:val="21"/>
              </w:rPr>
            </w:pPr>
            <w:r>
              <w:rPr>
                <w:rFonts w:hint="eastAsia" w:ascii="宋体" w:hAnsi="宋体"/>
                <w:sz w:val="21"/>
                <w:szCs w:val="21"/>
              </w:rPr>
              <w:t>О现场文件审查</w:t>
            </w:r>
          </w:p>
          <w:p>
            <w:pPr>
              <w:spacing w:line="0" w:lineRule="atLeast"/>
              <w:rPr>
                <w:rFonts w:ascii="宋体" w:hAnsi="宋体"/>
                <w:sz w:val="21"/>
                <w:szCs w:val="21"/>
              </w:rPr>
            </w:pPr>
            <w:r>
              <w:rPr>
                <w:rFonts w:hint="eastAsia" w:ascii="宋体" w:hAnsi="宋体"/>
                <w:sz w:val="21"/>
                <w:szCs w:val="21"/>
              </w:rPr>
              <w:t>完整性、充分性、适宜性、有效性及控制</w:t>
            </w:r>
          </w:p>
          <w:p>
            <w:pPr>
              <w:spacing w:line="0" w:lineRule="atLeast"/>
              <w:rPr>
                <w:rFonts w:ascii="宋体" w:hAnsi="宋体"/>
                <w:sz w:val="21"/>
                <w:szCs w:val="21"/>
              </w:rPr>
            </w:pPr>
            <w:r>
              <w:rPr>
                <w:rFonts w:hint="eastAsia" w:ascii="宋体" w:hAnsi="宋体"/>
                <w:sz w:val="21"/>
                <w:szCs w:val="21"/>
              </w:rPr>
              <w:t>О记录表式、填写、控制</w:t>
            </w:r>
          </w:p>
          <w:p>
            <w:pPr>
              <w:spacing w:line="0" w:lineRule="atLeast"/>
              <w:rPr>
                <w:rFonts w:ascii="宋体" w:hAnsi="宋体"/>
                <w:sz w:val="21"/>
                <w:szCs w:val="21"/>
              </w:rPr>
            </w:pPr>
            <w:r>
              <w:rPr>
                <w:rFonts w:hint="eastAsia" w:ascii="宋体" w:hAnsi="宋体"/>
                <w:sz w:val="21"/>
                <w:szCs w:val="21"/>
              </w:rPr>
              <w:t>О监视和测量</w:t>
            </w:r>
          </w:p>
          <w:p>
            <w:pPr>
              <w:spacing w:line="0" w:lineRule="atLeast"/>
              <w:rPr>
                <w:rFonts w:ascii="宋体" w:hAnsi="宋体"/>
                <w:sz w:val="21"/>
                <w:szCs w:val="21"/>
              </w:rPr>
            </w:pPr>
            <w:r>
              <w:rPr>
                <w:rFonts w:hint="eastAsia" w:ascii="宋体" w:hAnsi="宋体"/>
                <w:sz w:val="21"/>
                <w:szCs w:val="21"/>
              </w:rPr>
              <w:t>О不合格处置</w:t>
            </w:r>
          </w:p>
          <w:p>
            <w:pPr>
              <w:spacing w:line="0" w:lineRule="atLeast"/>
              <w:rPr>
                <w:rFonts w:ascii="仿宋_GB2312" w:eastAsia="仿宋_GB2312"/>
                <w:sz w:val="18"/>
              </w:rPr>
            </w:pPr>
            <w:r>
              <w:rPr>
                <w:rFonts w:hint="eastAsia" w:ascii="宋体" w:hAnsi="宋体"/>
                <w:sz w:val="21"/>
                <w:szCs w:val="21"/>
              </w:rPr>
              <w:t>О分析和持续改进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375" w:hRule="atLeast"/>
        </w:trPr>
        <w:tc>
          <w:tcPr>
            <w:tcW w:w="15049" w:type="dxa"/>
            <w:gridSpan w:val="3"/>
            <w:noWrap w:val="0"/>
            <w:vAlign w:val="top"/>
          </w:tcPr>
          <w:p>
            <w:pPr>
              <w:spacing w:line="0" w:lineRule="atLeast"/>
              <w:rPr>
                <w:rFonts w:ascii="宋体" w:hAnsi="宋体"/>
                <w:sz w:val="21"/>
                <w:szCs w:val="21"/>
              </w:rPr>
            </w:pPr>
            <w:r>
              <w:rPr>
                <w:rFonts w:ascii="宋体" w:hAnsi="宋体"/>
                <w:b/>
                <w:sz w:val="21"/>
                <w:szCs w:val="21"/>
              </w:rPr>
              <w:pict>
                <v:line id="Line 217" o:spid="_x0000_s1026" o:spt="20" style="position:absolute;left:0pt;margin-left:342pt;margin-top:7.5pt;height:0pt;width:0.05pt;z-index:25165824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v:path arrowok="t"/>
                  <v:fill focussize="0,0"/>
                  <v:stroke/>
                  <v:imagedata o:title=""/>
                  <o:lock v:ext="edit"/>
                </v:line>
              </w:pict>
            </w:r>
            <w:r>
              <w:rPr>
                <w:rFonts w:hint="eastAsia" w:ascii="宋体" w:hAnsi="宋体"/>
                <w:b/>
                <w:sz w:val="21"/>
                <w:szCs w:val="21"/>
              </w:rPr>
              <w:t>评估：</w:t>
            </w:r>
            <w:r>
              <w:rPr>
                <w:rFonts w:hint="eastAsia" w:ascii="宋体" w:hAnsi="宋体"/>
                <w:sz w:val="21"/>
                <w:szCs w:val="21"/>
              </w:rPr>
              <w:t>1.符合准则要求; 2.基本符合准则要求（存在轻微问题，可接受），口头通知受审核方;3.未达到准则要求</w:t>
            </w:r>
          </w:p>
          <w:p>
            <w:pPr>
              <w:spacing w:line="0" w:lineRule="atLeast"/>
              <w:rPr>
                <w:b/>
                <w:color w:val="000000"/>
                <w:sz w:val="21"/>
                <w:szCs w:val="21"/>
              </w:rPr>
            </w:pPr>
            <w:r>
              <w:rPr>
                <w:rFonts w:hint="eastAsia" w:ascii="宋体" w:hAnsi="宋体"/>
                <w:b/>
                <w:sz w:val="21"/>
                <w:szCs w:val="21"/>
              </w:rPr>
              <w:t>注：</w:t>
            </w:r>
            <w:r>
              <w:rPr>
                <w:rFonts w:hint="eastAsia" w:ascii="宋体" w:hAnsi="宋体"/>
                <w:sz w:val="21"/>
                <w:szCs w:val="21"/>
              </w:rPr>
              <w:t>应记录符合的与不符合的审核证据，应提供完整、准确、清晰的审核记录。</w:t>
            </w:r>
            <w:r>
              <w:rPr>
                <w:rFonts w:hint="eastAsia"/>
                <w:b/>
                <w:color w:val="000000"/>
                <w:sz w:val="21"/>
                <w:szCs w:val="21"/>
              </w:rPr>
              <w:t>审核记录表中的评估栏中如发现有关不符合项：一般不符合项以“</w:t>
            </w:r>
            <w:r>
              <w:rPr>
                <w:rFonts w:hint="eastAsia" w:ascii="宋体" w:hAnsi="宋体"/>
                <w:b/>
                <w:color w:val="000000"/>
                <w:sz w:val="21"/>
                <w:szCs w:val="21"/>
              </w:rPr>
              <w:t>△”标注，严重不符合以“▲”标注。</w:t>
            </w:r>
          </w:p>
          <w:p>
            <w:pPr>
              <w:spacing w:line="0" w:lineRule="atLeast"/>
              <w:rPr>
                <w:rFonts w:ascii="仿宋_GB2312" w:eastAsia="仿宋_GB2312"/>
                <w:sz w:val="18"/>
                <w:szCs w:val="18"/>
              </w:rPr>
            </w:pPr>
            <w:r>
              <w:rPr>
                <w:rFonts w:hint="eastAsia" w:ascii="宋体" w:hAnsi="宋体"/>
                <w:sz w:val="21"/>
                <w:szCs w:val="21"/>
              </w:rPr>
              <w:t>实习审核员承担部分现场审核记录工作时，同组的级别审核员应在记录首页签字确认。</w:t>
            </w:r>
          </w:p>
        </w:tc>
      </w:tr>
    </w:tbl>
    <w:p>
      <w:pPr>
        <w:spacing w:line="480" w:lineRule="exact"/>
        <w:jc w:val="center"/>
        <w:rPr>
          <w:rFonts w:hint="eastAsia" w:ascii="隶书" w:hAnsi="宋体" w:eastAsia="隶书"/>
          <w:bCs/>
          <w:color w:val="000000"/>
          <w:sz w:val="36"/>
          <w:szCs w:val="36"/>
        </w:rPr>
      </w:pPr>
    </w:p>
    <w:tbl>
      <w:tblPr>
        <w:tblStyle w:val="5"/>
        <w:tblW w:w="1504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8931"/>
        <w:gridCol w:w="89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893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896"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53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8931" w:type="dxa"/>
            <w:noWrap w:val="0"/>
            <w:vAlign w:val="top"/>
          </w:tcPr>
          <w:p>
            <w:pPr>
              <w:ind w:firstLine="420" w:firstLineChars="200"/>
              <w:rPr>
                <w:rFonts w:hint="eastAsia" w:ascii="宋体" w:hAnsi="宋体" w:cs="宋体"/>
                <w:sz w:val="21"/>
                <w:szCs w:val="21"/>
              </w:rPr>
            </w:pPr>
            <w:bookmarkStart w:id="0" w:name="组织名称"/>
            <w:r>
              <w:rPr>
                <w:color w:val="000000"/>
                <w:szCs w:val="21"/>
              </w:rPr>
              <w:t>重庆创润绿宝通用机械有限公司</w:t>
            </w:r>
            <w:bookmarkEnd w:id="0"/>
            <w:r>
              <w:rPr>
                <w:rFonts w:hint="eastAsia" w:ascii="宋体" w:hAnsi="宋体" w:cs="宋体"/>
                <w:sz w:val="21"/>
                <w:szCs w:val="21"/>
              </w:rPr>
              <w:t>是一家专业从事</w:t>
            </w:r>
            <w:bookmarkStart w:id="1" w:name="审核范围"/>
            <w:r>
              <w:rPr>
                <w:rFonts w:hint="eastAsia" w:ascii="宋体" w:hAnsi="宋体"/>
                <w:szCs w:val="21"/>
              </w:rPr>
              <w:t>通用小型汽油机（许可证范围内）、汽油发电机组、汽油水泵机组的生产</w:t>
            </w:r>
            <w:bookmarkEnd w:id="1"/>
            <w:r>
              <w:rPr>
                <w:rFonts w:hint="eastAsia" w:ascii="宋体" w:hAnsi="宋体" w:cs="宋体"/>
                <w:sz w:val="21"/>
                <w:szCs w:val="21"/>
              </w:rPr>
              <w:t>的公司。产品广泛应用于</w:t>
            </w:r>
            <w:r>
              <w:rPr>
                <w:rFonts w:hint="eastAsia" w:ascii="宋体" w:hAnsi="宋体" w:cs="宋体"/>
                <w:sz w:val="21"/>
                <w:szCs w:val="21"/>
                <w:lang w:eastAsia="zh-CN"/>
              </w:rPr>
              <w:t>农业、小型企业发电</w:t>
            </w:r>
            <w:r>
              <w:rPr>
                <w:rFonts w:hint="eastAsia" w:ascii="宋体" w:hAnsi="宋体" w:cs="宋体"/>
                <w:sz w:val="21"/>
                <w:szCs w:val="21"/>
              </w:rPr>
              <w:t>领域。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rPr>
              <w:t>该公司目前成立了三个部门：</w:t>
            </w:r>
            <w:r>
              <w:rPr>
                <w:rFonts w:hint="eastAsia" w:ascii="宋体" w:hAnsi="宋体" w:cs="宋体"/>
                <w:sz w:val="21"/>
                <w:szCs w:val="21"/>
                <w:lang w:eastAsia="zh-CN"/>
              </w:rPr>
              <w:t>行政部</w:t>
            </w:r>
            <w:r>
              <w:rPr>
                <w:rFonts w:hint="eastAsia" w:ascii="宋体" w:hAnsi="宋体" w:cs="宋体"/>
                <w:sz w:val="21"/>
                <w:szCs w:val="21"/>
              </w:rPr>
              <w:t>、</w:t>
            </w:r>
            <w:r>
              <w:rPr>
                <w:rFonts w:hint="eastAsia" w:ascii="宋体" w:hAnsi="宋体" w:cs="宋体"/>
                <w:sz w:val="21"/>
                <w:szCs w:val="21"/>
                <w:lang w:eastAsia="zh-CN"/>
              </w:rPr>
              <w:t>生技部</w:t>
            </w:r>
            <w:r>
              <w:rPr>
                <w:rFonts w:hint="eastAsia" w:ascii="宋体" w:hAnsi="宋体"/>
                <w:sz w:val="21"/>
                <w:szCs w:val="21"/>
              </w:rPr>
              <w:t>、</w:t>
            </w:r>
            <w:r>
              <w:rPr>
                <w:rFonts w:hint="eastAsia" w:ascii="宋体" w:hAnsi="宋体"/>
                <w:sz w:val="21"/>
                <w:szCs w:val="21"/>
                <w:lang w:eastAsia="zh-CN"/>
              </w:rPr>
              <w:t>供销部</w:t>
            </w:r>
            <w:r>
              <w:rPr>
                <w:rFonts w:hint="eastAsia" w:ascii="宋体" w:hAnsi="宋体"/>
                <w:sz w:val="21"/>
                <w:szCs w:val="21"/>
              </w:rPr>
              <w:t>。</w:t>
            </w:r>
          </w:p>
          <w:p>
            <w:pPr>
              <w:spacing w:line="400" w:lineRule="exact"/>
              <w:ind w:firstLine="420" w:firstLineChars="200"/>
              <w:jc w:val="left"/>
              <w:rPr>
                <w:rFonts w:hint="eastAsia" w:ascii="宋体" w:hAnsi="宋体"/>
                <w:sz w:val="21"/>
                <w:szCs w:val="21"/>
              </w:rPr>
            </w:pPr>
            <w:r>
              <w:rPr>
                <w:rFonts w:hint="eastAsia" w:ascii="宋体" w:hAnsi="宋体"/>
                <w:sz w:val="21"/>
                <w:szCs w:val="21"/>
              </w:rPr>
              <w:t>抽查：组织机构图、职能分配表、职责描述，基本保持一致。</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经核实，生产经营场所为：</w:t>
            </w:r>
            <w:bookmarkStart w:id="2" w:name="生产地址"/>
            <w:r>
              <w:t>重庆市合川区工业园区核心区HC14-003-14</w:t>
            </w:r>
            <w:bookmarkEnd w:id="2"/>
            <w:r>
              <w:rPr>
                <w:rFonts w:hint="eastAsia" w:ascii="宋体" w:hAnsi="宋体" w:cs="宋体"/>
                <w:sz w:val="21"/>
                <w:szCs w:val="21"/>
              </w:rPr>
              <w:t>，与任务书一致。</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经确认，认证范围为：</w:t>
            </w:r>
            <w:r>
              <w:rPr>
                <w:rFonts w:hint="eastAsia" w:ascii="宋体" w:hAnsi="宋体"/>
                <w:szCs w:val="21"/>
              </w:rPr>
              <w:t>通用小型汽油机（许可证范围内）、汽油发电机组、汽油水泵机组的生产</w:t>
            </w:r>
            <w:r>
              <w:rPr>
                <w:rFonts w:hint="eastAsia" w:ascii="宋体" w:hAnsi="宋体" w:cs="宋体"/>
                <w:sz w:val="21"/>
                <w:szCs w:val="21"/>
              </w:rPr>
              <w:t>，与申请范围一致。</w:t>
            </w:r>
          </w:p>
          <w:p>
            <w:pPr>
              <w:rPr>
                <w:rFonts w:hint="eastAsia" w:ascii="宋体" w:hAnsi="宋体" w:cs="宋体"/>
                <w:sz w:val="21"/>
                <w:szCs w:val="21"/>
              </w:rPr>
            </w:pPr>
            <w:r>
              <w:rPr>
                <w:rFonts w:hint="eastAsia" w:ascii="宋体" w:hAnsi="宋体" w:cs="宋体"/>
                <w:sz w:val="21"/>
                <w:szCs w:val="21"/>
              </w:rPr>
              <w:t>询问，主要</w:t>
            </w:r>
            <w:r>
              <w:rPr>
                <w:rFonts w:hint="eastAsia" w:ascii="宋体" w:hAnsi="宋体" w:cs="宋体"/>
                <w:sz w:val="21"/>
                <w:szCs w:val="21"/>
                <w:lang w:eastAsia="zh-CN"/>
              </w:rPr>
              <w:t>生产</w:t>
            </w:r>
            <w:r>
              <w:rPr>
                <w:rFonts w:hint="eastAsia" w:ascii="宋体" w:hAnsi="宋体" w:cs="宋体"/>
                <w:sz w:val="21"/>
                <w:szCs w:val="21"/>
              </w:rPr>
              <w:t>设备为</w:t>
            </w:r>
            <w:r>
              <w:rPr>
                <w:rFonts w:hint="eastAsia" w:ascii="宋体" w:hAnsi="宋体" w:cs="宋体"/>
                <w:sz w:val="21"/>
                <w:szCs w:val="21"/>
                <w:lang w:eastAsia="zh-CN"/>
              </w:rPr>
              <w:t>：</w:t>
            </w:r>
            <w:r>
              <w:rPr>
                <w:rFonts w:hint="eastAsia"/>
                <w:color w:val="000000"/>
                <w:sz w:val="21"/>
                <w:szCs w:val="21"/>
                <w:lang w:eastAsia="zh-CN"/>
              </w:rPr>
              <w:t>动力</w:t>
            </w:r>
            <w:r>
              <w:rPr>
                <w:rFonts w:hint="eastAsia"/>
                <w:color w:val="000000"/>
                <w:sz w:val="21"/>
                <w:szCs w:val="21"/>
              </w:rPr>
              <w:t>装配线、</w:t>
            </w:r>
            <w:r>
              <w:rPr>
                <w:rFonts w:hint="eastAsia"/>
                <w:color w:val="000000"/>
                <w:sz w:val="21"/>
                <w:szCs w:val="21"/>
                <w:lang w:eastAsia="zh-CN"/>
              </w:rPr>
              <w:t>机组装配线、</w:t>
            </w:r>
            <w:r>
              <w:rPr>
                <w:rFonts w:hint="eastAsia"/>
                <w:color w:val="000000"/>
                <w:sz w:val="21"/>
                <w:szCs w:val="21"/>
              </w:rPr>
              <w:t>涡轮测功台、扳手、气动</w:t>
            </w:r>
            <w:r>
              <w:rPr>
                <w:rFonts w:hint="eastAsia"/>
                <w:color w:val="000000"/>
                <w:sz w:val="21"/>
                <w:szCs w:val="21"/>
                <w:lang w:eastAsia="zh-CN"/>
              </w:rPr>
              <w:t>枪、空压机、装配工装、动力在线测试系统、打标机、包装流水线等。原材料主要为：曲轴箱体、汽缸头、飞轮组件、水泵泵体、发电</w:t>
            </w:r>
            <w:r>
              <w:rPr>
                <w:rFonts w:hint="eastAsia" w:ascii="宋体" w:hAnsi="宋体" w:cs="宋体"/>
                <w:sz w:val="21"/>
                <w:szCs w:val="21"/>
                <w:lang w:eastAsia="zh-CN"/>
              </w:rPr>
              <w:t>机托架电机等。</w:t>
            </w:r>
            <w:r>
              <w:rPr>
                <w:rFonts w:hint="eastAsia" w:ascii="宋体" w:hAnsi="宋体" w:cs="宋体"/>
                <w:sz w:val="21"/>
                <w:szCs w:val="21"/>
              </w:rPr>
              <w:t>特殊过程:</w:t>
            </w:r>
            <w:r>
              <w:rPr>
                <w:rFonts w:hint="eastAsia" w:ascii="宋体" w:hAnsi="宋体" w:cs="宋体"/>
                <w:sz w:val="21"/>
                <w:szCs w:val="21"/>
                <w:lang w:eastAsia="zh-CN"/>
              </w:rPr>
              <w:t>无</w:t>
            </w:r>
            <w:r>
              <w:rPr>
                <w:rFonts w:hint="eastAsia" w:ascii="宋体" w:hAnsi="宋体" w:cs="宋体"/>
                <w:sz w:val="21"/>
                <w:szCs w:val="21"/>
              </w:rPr>
              <w:t>，理体系运行时间：</w:t>
            </w:r>
            <w:r>
              <w:rPr>
                <w:rFonts w:hint="eastAsia" w:ascii="宋体" w:hAnsi="宋体" w:cs="宋体"/>
                <w:sz w:val="21"/>
                <w:szCs w:val="21"/>
                <w:lang w:eastAsia="zh-CN"/>
              </w:rPr>
              <w:t>2019</w:t>
            </w:r>
            <w:r>
              <w:rPr>
                <w:rFonts w:hint="eastAsia" w:ascii="宋体" w:hAnsi="宋体" w:cs="宋体"/>
                <w:sz w:val="21"/>
                <w:szCs w:val="21"/>
              </w:rPr>
              <w:t>年</w:t>
            </w:r>
            <w:r>
              <w:rPr>
                <w:rFonts w:hint="eastAsia" w:ascii="宋体" w:hAnsi="宋体" w:cs="宋体"/>
                <w:sz w:val="21"/>
                <w:szCs w:val="21"/>
                <w:lang w:eastAsia="zh-CN"/>
              </w:rPr>
              <w:t>0</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8</w:t>
            </w:r>
            <w:r>
              <w:rPr>
                <w:rFonts w:hint="eastAsia" w:ascii="宋体" w:hAnsi="宋体" w:cs="宋体"/>
                <w:sz w:val="21"/>
                <w:szCs w:val="21"/>
              </w:rPr>
              <w:t>日。</w:t>
            </w:r>
          </w:p>
          <w:p>
            <w:pPr>
              <w:spacing w:line="400" w:lineRule="exact"/>
              <w:ind w:firstLine="420" w:firstLineChars="200"/>
              <w:jc w:val="left"/>
              <w:rPr>
                <w:rFonts w:hint="eastAsia" w:ascii="宋体" w:hAnsi="宋体"/>
                <w:sz w:val="21"/>
                <w:szCs w:val="21"/>
              </w:rPr>
            </w:pPr>
            <w:r>
              <w:rPr>
                <w:rFonts w:hint="eastAsia" w:ascii="宋体" w:hAnsi="宋体" w:cs="宋体"/>
                <w:sz w:val="21"/>
                <w:szCs w:val="21"/>
              </w:rPr>
              <w:t>组织实际与管理体系文件化信息描</w:t>
            </w:r>
            <w:r>
              <w:rPr>
                <w:rFonts w:hint="eastAsia"/>
                <w:sz w:val="21"/>
                <w:szCs w:val="21"/>
              </w:rPr>
              <w:t>述基本一致。</w:t>
            </w:r>
            <w:r>
              <w:rPr>
                <w:rFonts w:hint="eastAsia" w:ascii="宋体" w:hAnsi="宋体"/>
                <w:sz w:val="21"/>
                <w:szCs w:val="21"/>
              </w:rPr>
              <w:t>有</w:t>
            </w:r>
            <w:r>
              <w:rPr>
                <w:rFonts w:hint="eastAsia" w:ascii="宋体" w:hAnsi="宋体" w:cs="宋体"/>
                <w:sz w:val="21"/>
                <w:szCs w:val="21"/>
              </w:rPr>
              <w:t>管理层、</w:t>
            </w:r>
            <w:r>
              <w:rPr>
                <w:rFonts w:hint="eastAsia" w:ascii="宋体" w:hAnsi="宋体" w:cs="宋体"/>
                <w:sz w:val="21"/>
                <w:szCs w:val="21"/>
                <w:lang w:eastAsia="zh-CN"/>
              </w:rPr>
              <w:t>行政部</w:t>
            </w:r>
            <w:r>
              <w:rPr>
                <w:rFonts w:hint="eastAsia" w:ascii="宋体" w:hAnsi="宋体" w:cs="宋体"/>
                <w:sz w:val="21"/>
                <w:szCs w:val="21"/>
              </w:rPr>
              <w:t>、</w:t>
            </w:r>
            <w:r>
              <w:rPr>
                <w:rFonts w:hint="eastAsia" w:ascii="宋体" w:hAnsi="宋体" w:cs="宋体"/>
                <w:sz w:val="21"/>
                <w:szCs w:val="21"/>
                <w:lang w:eastAsia="zh-CN"/>
              </w:rPr>
              <w:t>生技部</w:t>
            </w:r>
            <w:r>
              <w:rPr>
                <w:rFonts w:hint="eastAsia" w:ascii="宋体" w:hAnsi="宋体"/>
                <w:sz w:val="21"/>
                <w:szCs w:val="21"/>
              </w:rPr>
              <w:t>、</w:t>
            </w:r>
            <w:r>
              <w:rPr>
                <w:rFonts w:hint="eastAsia" w:ascii="宋体" w:hAnsi="宋体"/>
                <w:sz w:val="21"/>
                <w:szCs w:val="21"/>
                <w:lang w:eastAsia="zh-CN"/>
              </w:rPr>
              <w:t>供销部</w:t>
            </w:r>
            <w:r>
              <w:rPr>
                <w:rFonts w:hint="eastAsia" w:ascii="宋体" w:hAnsi="宋体"/>
                <w:sz w:val="21"/>
                <w:szCs w:val="21"/>
              </w:rPr>
              <w:t>。</w:t>
            </w:r>
          </w:p>
          <w:p>
            <w:pPr>
              <w:spacing w:line="400" w:lineRule="exact"/>
              <w:rPr>
                <w:rFonts w:hint="eastAsia" w:ascii="宋体" w:hAnsi="宋体"/>
                <w:color w:val="FF0000"/>
                <w:sz w:val="21"/>
                <w:szCs w:val="21"/>
              </w:rPr>
            </w:pPr>
            <w:r>
              <w:rPr>
                <w:rFonts w:hint="eastAsia" w:ascii="宋体" w:hAnsi="宋体"/>
                <w:sz w:val="21"/>
                <w:szCs w:val="21"/>
              </w:rPr>
              <w:t>产品流程见《工艺流程》</w:t>
            </w:r>
          </w:p>
          <w:p>
            <w:pPr>
              <w:spacing w:line="440" w:lineRule="exact"/>
              <w:rPr>
                <w:rFonts w:hint="eastAsia"/>
                <w:sz w:val="21"/>
                <w:szCs w:val="21"/>
              </w:rPr>
            </w:pPr>
            <w:r>
              <w:rPr>
                <w:rFonts w:hint="eastAsia" w:ascii="宋体" w:hAnsi="宋体"/>
                <w:color w:val="000000"/>
                <w:sz w:val="21"/>
                <w:szCs w:val="21"/>
              </w:rPr>
              <w:t>查，</w:t>
            </w:r>
            <w:r>
              <w:rPr>
                <w:rFonts w:hint="eastAsia"/>
                <w:sz w:val="21"/>
                <w:szCs w:val="21"/>
              </w:rPr>
              <w:t>管理体系文件名称</w:t>
            </w:r>
            <w:r>
              <w:rPr>
                <w:rFonts w:hint="eastAsia" w:ascii="宋体" w:hAnsi="宋体"/>
                <w:color w:val="000000"/>
                <w:sz w:val="21"/>
                <w:szCs w:val="21"/>
              </w:rPr>
              <w:t>：管理</w:t>
            </w:r>
            <w:r>
              <w:rPr>
                <w:rFonts w:ascii="宋体" w:hAnsi="宋体"/>
                <w:kern w:val="44"/>
                <w:sz w:val="21"/>
                <w:szCs w:val="21"/>
              </w:rPr>
              <w:t>手册</w:t>
            </w:r>
            <w:r>
              <w:rPr>
                <w:rFonts w:hint="eastAsia" w:ascii="宋体" w:hAnsi="宋体"/>
                <w:kern w:val="44"/>
                <w:sz w:val="21"/>
                <w:szCs w:val="21"/>
              </w:rPr>
              <w:t>，程序文件2</w:t>
            </w:r>
            <w:r>
              <w:rPr>
                <w:rFonts w:hint="eastAsia" w:ascii="宋体" w:hAnsi="宋体"/>
                <w:kern w:val="44"/>
                <w:sz w:val="21"/>
                <w:szCs w:val="21"/>
                <w:lang w:val="en-US" w:eastAsia="zh-CN"/>
              </w:rPr>
              <w:t>1</w:t>
            </w:r>
            <w:r>
              <w:rPr>
                <w:rFonts w:hint="eastAsia" w:ascii="宋体" w:hAnsi="宋体"/>
                <w:kern w:val="44"/>
                <w:sz w:val="21"/>
                <w:szCs w:val="21"/>
              </w:rPr>
              <w:t>个。</w:t>
            </w:r>
          </w:p>
        </w:tc>
        <w:tc>
          <w:tcPr>
            <w:tcW w:w="896"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3"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893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sz w:val="21"/>
                <w:szCs w:val="21"/>
              </w:rPr>
            </w:pPr>
          </w:p>
          <w:p>
            <w:pPr>
              <w:spacing w:line="0" w:lineRule="atLeast"/>
              <w:jc w:val="left"/>
              <w:rPr>
                <w:rFonts w:hint="eastAsia" w:ascii="宋体" w:hAnsi="宋体" w:eastAsia="宋体"/>
                <w:color w:val="000000"/>
                <w:szCs w:val="21"/>
                <w:lang w:eastAsia="zh-CN"/>
              </w:rPr>
            </w:pPr>
            <w:r>
              <w:rPr>
                <w:rFonts w:hint="eastAsia" w:ascii="宋体" w:hAnsi="宋体"/>
                <w:color w:val="000000"/>
                <w:szCs w:val="21"/>
              </w:rPr>
              <w:t>B/T51352-20代替JB/T5135.1-2001通用小型汽油机第2部分:台架性能试验方法JB/51351-2013</w:t>
            </w:r>
            <w:r>
              <w:rPr>
                <w:rFonts w:hint="eastAsia" w:ascii="宋体" w:hAnsi="宋体"/>
                <w:color w:val="000000"/>
                <w:szCs w:val="21"/>
              </w:rPr>
              <w:br w:type="textWrapping"/>
            </w:r>
            <w:r>
              <w:rPr>
                <w:rFonts w:hint="eastAsia" w:ascii="宋体" w:hAnsi="宋体"/>
                <w:color w:val="000000"/>
                <w:szCs w:val="21"/>
              </w:rPr>
              <w:t>代替JB/T5135.3-2001通用小型汽油机第1部分:技术条件</w:t>
            </w:r>
            <w:r>
              <w:rPr>
                <w:rFonts w:hint="eastAsia" w:ascii="宋体" w:hAnsi="宋体"/>
                <w:color w:val="000000"/>
                <w:szCs w:val="21"/>
                <w:lang w:eastAsia="zh-CN"/>
              </w:rPr>
              <w:t>、</w:t>
            </w:r>
            <w:r>
              <w:rPr>
                <w:rFonts w:hint="eastAsia" w:ascii="宋体" w:hAnsi="宋体"/>
                <w:color w:val="000000"/>
                <w:szCs w:val="21"/>
              </w:rPr>
              <w:t>JB/T51353-20代替JB/T5135.2-2001</w:t>
            </w:r>
            <w:r>
              <w:rPr>
                <w:rFonts w:hint="eastAsia" w:ascii="宋体" w:hAnsi="宋体"/>
                <w:color w:val="000000"/>
                <w:szCs w:val="21"/>
              </w:rPr>
              <w:br w:type="textWrapping"/>
            </w:r>
            <w:r>
              <w:rPr>
                <w:rFonts w:hint="eastAsia" w:ascii="宋体" w:hAnsi="宋体"/>
                <w:color w:val="000000"/>
                <w:szCs w:val="21"/>
              </w:rPr>
              <w:t>通用小型汽油机第3部分:可靠性、耐久性试验与评定方法</w:t>
            </w:r>
            <w:r>
              <w:rPr>
                <w:rFonts w:hint="eastAsia" w:ascii="宋体" w:hAnsi="宋体"/>
                <w:color w:val="000000"/>
                <w:szCs w:val="21"/>
                <w:lang w:eastAsia="zh-CN"/>
              </w:rPr>
              <w:t>、GB/T 24673-2009小型汽油机直联高速离心泵、企业标准</w:t>
            </w:r>
            <w:r>
              <w:rPr>
                <w:rFonts w:hint="eastAsia" w:ascii="宋体" w:hAnsi="宋体"/>
                <w:color w:val="000000"/>
                <w:szCs w:val="21"/>
                <w:lang w:val="en-US" w:eastAsia="zh-CN"/>
              </w:rPr>
              <w:t>Q/CR001-2019通用汽油机、JB/T10304-2001《工频汽油发电机组技术条件》</w:t>
            </w:r>
            <w:r>
              <w:rPr>
                <w:rFonts w:hint="eastAsia" w:ascii="宋体" w:hAnsi="宋体"/>
                <w:color w:val="000000"/>
                <w:szCs w:val="21"/>
              </w:rPr>
              <w:t>和客户要求及协议</w:t>
            </w:r>
            <w:r>
              <w:rPr>
                <w:rFonts w:hint="eastAsia" w:ascii="宋体" w:hAnsi="宋体"/>
                <w:color w:val="000000"/>
                <w:szCs w:val="21"/>
                <w:lang w:eastAsia="zh-CN"/>
              </w:rPr>
              <w:t>。</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rPr>
                <w:rFonts w:hint="eastAsia" w:ascii="宋体" w:hAnsi="宋体"/>
                <w:sz w:val="21"/>
                <w:szCs w:val="21"/>
              </w:rPr>
            </w:pPr>
            <w:r>
              <w:rPr>
                <w:rFonts w:hint="eastAsia" w:ascii="宋体" w:hAnsi="宋体"/>
                <w:sz w:val="21"/>
                <w:szCs w:val="21"/>
                <w:lang w:eastAsia="zh-CN"/>
              </w:rPr>
              <w:t>提供</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10月16日监督</w:t>
            </w:r>
            <w:r>
              <w:rPr>
                <w:rFonts w:hint="eastAsia" w:ascii="宋体" w:hAnsi="宋体"/>
                <w:sz w:val="21"/>
                <w:szCs w:val="21"/>
              </w:rPr>
              <w:t>抽检</w:t>
            </w:r>
            <w:r>
              <w:rPr>
                <w:rFonts w:hint="eastAsia" w:ascii="宋体" w:hAnsi="宋体"/>
                <w:sz w:val="21"/>
                <w:szCs w:val="21"/>
                <w:lang w:eastAsia="zh-CN"/>
              </w:rPr>
              <w:t>情况：重庆市计量质量检测研究院对对水泵、发电机进行抽检</w:t>
            </w:r>
            <w:r>
              <w:rPr>
                <w:rFonts w:hint="eastAsia" w:ascii="宋体" w:hAnsi="宋体"/>
                <w:sz w:val="21"/>
                <w:szCs w:val="21"/>
              </w:rPr>
              <w:t>。</w:t>
            </w:r>
          </w:p>
          <w:p>
            <w:pPr>
              <w:rPr>
                <w:rFonts w:hint="eastAsia" w:ascii="宋体" w:hAnsi="宋体" w:eastAsia="宋体"/>
                <w:sz w:val="21"/>
                <w:szCs w:val="21"/>
                <w:lang w:eastAsia="zh-CN"/>
              </w:rPr>
            </w:pPr>
            <w:r>
              <w:rPr>
                <w:rFonts w:hint="eastAsia" w:ascii="宋体" w:hAnsi="宋体"/>
                <w:sz w:val="21"/>
                <w:szCs w:val="21"/>
                <w:lang w:eastAsia="zh-CN"/>
              </w:rPr>
              <w:t>结论还未出具（详见附件）</w:t>
            </w:r>
          </w:p>
          <w:p>
            <w:pPr>
              <w:rPr>
                <w:rFonts w:hint="eastAsia" w:ascii="宋体" w:hAnsi="宋体"/>
                <w:sz w:val="21"/>
                <w:szCs w:val="21"/>
              </w:rPr>
            </w:pPr>
            <w:r>
              <w:rPr>
                <w:rFonts w:hint="eastAsia" w:ascii="宋体" w:hAnsi="宋体"/>
                <w:szCs w:val="21"/>
                <w:lang w:eastAsia="zh-CN"/>
              </w:rPr>
              <w:t>提供</w:t>
            </w:r>
            <w:r>
              <w:rPr>
                <w:rFonts w:hint="eastAsia" w:ascii="宋体" w:hAnsi="宋体"/>
                <w:szCs w:val="21"/>
                <w:lang w:val="en-US" w:eastAsia="zh-CN"/>
              </w:rPr>
              <w:t>2018年4月重庆市质量技术监督局对汽油发电机组进行的市级监督抽查、2018年7月重庆市合川区质量技术监督局对汽油机水泵进行的整改复查检验、2019年6月重庆市市场监督管理局对通用小型汽油机进行的市级季度监督抽查、结论：合格（详见附件）</w:t>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p>
            <w:pPr>
              <w:widowControl/>
              <w:spacing w:line="400" w:lineRule="exact"/>
              <w:rPr>
                <w:rFonts w:hint="eastAsia" w:ascii="宋体" w:hAnsi="宋体"/>
                <w:sz w:val="21"/>
                <w:szCs w:val="21"/>
              </w:rPr>
            </w:pPr>
          </w:p>
        </w:tc>
        <w:tc>
          <w:tcPr>
            <w:tcW w:w="8931" w:type="dxa"/>
            <w:noWrap w:val="0"/>
            <w:vAlign w:val="top"/>
          </w:tcPr>
          <w:p>
            <w:pPr>
              <w:widowControl/>
              <w:jc w:val="left"/>
              <w:rPr>
                <w:rFonts w:hint="eastAsia"/>
                <w:sz w:val="21"/>
                <w:szCs w:val="21"/>
              </w:rPr>
            </w:pPr>
          </w:p>
          <w:p>
            <w:pPr>
              <w:rPr>
                <w:rFonts w:hint="eastAsia" w:ascii="宋体" w:hAnsi="宋体"/>
                <w:szCs w:val="21"/>
              </w:rPr>
            </w:pPr>
            <w:r>
              <w:rPr>
                <w:rFonts w:hint="eastAsia" w:ascii="宋体" w:hAnsi="宋体"/>
                <w:szCs w:val="21"/>
              </w:rPr>
              <w:t>通用小型汽油机（许可证范围内）、汽油发电机组、汽油水泵机组的生产</w:t>
            </w:r>
            <w:r>
              <w:rPr>
                <w:rFonts w:hint="eastAsia" w:ascii="宋体" w:hAnsi="宋体"/>
                <w:szCs w:val="21"/>
                <w:lang w:eastAsia="zh-CN"/>
              </w:rPr>
              <w:t>工艺流程：</w:t>
            </w:r>
            <w:r>
              <w:rPr>
                <w:rFonts w:hint="eastAsia" w:ascii="宋体" w:hAnsi="宋体"/>
                <w:szCs w:val="21"/>
              </w:rPr>
              <w:t>进货检验→零部件组装→流水线装配</w:t>
            </w:r>
            <w:r>
              <w:rPr>
                <w:rFonts w:hint="eastAsia" w:ascii="宋体" w:hAnsi="宋体"/>
                <w:szCs w:val="21"/>
                <w:lang w:eastAsia="zh-CN"/>
              </w:rPr>
              <w:t>（加装水泵或电机）</w:t>
            </w:r>
            <w:r>
              <w:rPr>
                <w:rFonts w:hint="eastAsia" w:ascii="宋体" w:hAnsi="宋体"/>
                <w:szCs w:val="21"/>
              </w:rPr>
              <w:t>→测试→贴花→包装→入库</w:t>
            </w:r>
          </w:p>
          <w:p>
            <w:pPr>
              <w:numPr>
                <w:ilvl w:val="0"/>
                <w:numId w:val="0"/>
              </w:numPr>
              <w:spacing w:line="400" w:lineRule="exact"/>
              <w:ind w:leftChars="0"/>
              <w:jc w:val="left"/>
              <w:rPr>
                <w:rFonts w:hint="eastAsia" w:ascii="宋体" w:hAnsi="宋体" w:cs="宋体"/>
                <w:szCs w:val="21"/>
              </w:rPr>
            </w:pPr>
          </w:p>
          <w:p>
            <w:pPr>
              <w:widowControl/>
              <w:spacing w:line="400" w:lineRule="exact"/>
              <w:rPr>
                <w:rFonts w:hint="eastAsia" w:ascii="宋体" w:hAnsi="宋体"/>
                <w:sz w:val="21"/>
                <w:szCs w:val="21"/>
              </w:rPr>
            </w:pPr>
            <w:r>
              <w:rPr>
                <w:rFonts w:hint="eastAsia" w:ascii="宋体" w:hAnsi="宋体"/>
                <w:sz w:val="21"/>
                <w:szCs w:val="21"/>
              </w:rPr>
              <w:t>8.3</w:t>
            </w:r>
          </w:p>
          <w:p>
            <w:pPr>
              <w:widowControl/>
              <w:spacing w:line="400" w:lineRule="exact"/>
              <w:rPr>
                <w:rFonts w:hint="eastAsia" w:ascii="宋体" w:hAnsi="宋体"/>
                <w:sz w:val="21"/>
                <w:szCs w:val="21"/>
              </w:rPr>
            </w:pPr>
          </w:p>
          <w:p>
            <w:pPr>
              <w:widowControl/>
              <w:spacing w:line="400" w:lineRule="exact"/>
              <w:rPr>
                <w:rFonts w:hint="eastAsia" w:ascii="宋体" w:hAnsi="宋体" w:eastAsia="宋体"/>
                <w:color w:val="000000" w:themeColor="text1"/>
                <w:sz w:val="21"/>
                <w:szCs w:val="21"/>
                <w:lang w:eastAsia="zh-CN"/>
              </w:rPr>
            </w:pPr>
            <w:r>
              <w:rPr>
                <w:rFonts w:hint="eastAsia" w:ascii="宋体" w:hAnsi="宋体"/>
                <w:color w:val="000000" w:themeColor="text1"/>
                <w:sz w:val="21"/>
                <w:szCs w:val="21"/>
                <w:lang w:eastAsia="zh-CN"/>
              </w:rPr>
              <w:t>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a）</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企业状况调查!R18C2 \a \t  \* MERGEFORMAT </w:instrText>
            </w:r>
            <w:r>
              <w:rPr>
                <w:rFonts w:hint="eastAsia" w:ascii="宋体" w:hAnsi="宋体"/>
                <w:sz w:val="21"/>
                <w:szCs w:val="21"/>
                <w:lang w:eastAsia="zh-CN"/>
              </w:rPr>
              <w:fldChar w:fldCharType="separate"/>
            </w:r>
            <w:r>
              <w:rPr>
                <w:rFonts w:hint="eastAsia" w:ascii="宋体" w:hAnsi="宋体"/>
                <w:sz w:val="21"/>
                <w:szCs w:val="21"/>
                <w:lang w:eastAsia="zh-CN"/>
              </w:rPr>
              <w:t>采购合格率≥98%</w:t>
            </w:r>
            <w:r>
              <w:rPr>
                <w:rFonts w:hint="eastAsia" w:ascii="宋体" w:hAnsi="宋体"/>
                <w:sz w:val="21"/>
                <w:szCs w:val="21"/>
                <w:lang w:eastAsia="zh-CN"/>
              </w:rPr>
              <w:fldChar w:fldCharType="end"/>
            </w:r>
          </w:p>
          <w:p>
            <w:pPr>
              <w:widowControl/>
              <w:spacing w:line="400" w:lineRule="exact"/>
              <w:rPr>
                <w:rFonts w:hint="eastAsia" w:ascii="宋体" w:hAnsi="宋体"/>
                <w:sz w:val="21"/>
                <w:szCs w:val="21"/>
                <w:lang w:eastAsia="zh-CN"/>
              </w:rPr>
            </w:pPr>
            <w:r>
              <w:rPr>
                <w:rFonts w:hint="eastAsia" w:ascii="宋体" w:hAnsi="宋体"/>
                <w:sz w:val="21"/>
                <w:szCs w:val="21"/>
                <w:lang w:eastAsia="zh-CN"/>
              </w:rPr>
              <w:t>b）</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企业状况调查!R19C2 \a \t  \* MERGEFORMAT </w:instrText>
            </w:r>
            <w:r>
              <w:rPr>
                <w:rFonts w:hint="eastAsia" w:ascii="宋体" w:hAnsi="宋体"/>
                <w:sz w:val="21"/>
                <w:szCs w:val="21"/>
                <w:lang w:eastAsia="zh-CN"/>
              </w:rPr>
              <w:fldChar w:fldCharType="separate"/>
            </w:r>
            <w:r>
              <w:rPr>
                <w:rFonts w:hint="eastAsia" w:ascii="宋体" w:hAnsi="宋体"/>
                <w:sz w:val="21"/>
                <w:szCs w:val="21"/>
                <w:lang w:eastAsia="zh-CN"/>
              </w:rPr>
              <w:t>客户满意率≥9</w:t>
            </w:r>
            <w:r>
              <w:rPr>
                <w:rFonts w:hint="eastAsia" w:ascii="宋体" w:hAnsi="宋体"/>
                <w:sz w:val="21"/>
                <w:szCs w:val="21"/>
                <w:lang w:val="en-US" w:eastAsia="zh-CN"/>
              </w:rPr>
              <w:t>6.5</w:t>
            </w:r>
            <w:r>
              <w:rPr>
                <w:rFonts w:hint="eastAsia" w:ascii="宋体" w:hAnsi="宋体"/>
                <w:sz w:val="21"/>
                <w:szCs w:val="21"/>
                <w:lang w:eastAsia="zh-CN"/>
              </w:rPr>
              <w:t>%</w:t>
            </w:r>
            <w:r>
              <w:rPr>
                <w:rFonts w:hint="eastAsia" w:ascii="宋体" w:hAnsi="宋体"/>
                <w:sz w:val="21"/>
                <w:szCs w:val="21"/>
                <w:lang w:eastAsia="zh-CN"/>
              </w:rPr>
              <w:fldChar w:fldCharType="end"/>
            </w:r>
            <w:bookmarkStart w:id="3" w:name="_GoBack"/>
            <w:bookmarkEnd w:id="3"/>
          </w:p>
          <w:p>
            <w:pPr>
              <w:widowControl/>
              <w:spacing w:line="400" w:lineRule="exact"/>
              <w:rPr>
                <w:rFonts w:hint="eastAsia" w:ascii="宋体" w:hAnsi="宋体"/>
                <w:sz w:val="21"/>
                <w:szCs w:val="21"/>
              </w:rPr>
            </w:pPr>
            <w:r>
              <w:rPr>
                <w:rFonts w:hint="eastAsia" w:ascii="宋体" w:hAnsi="宋体"/>
                <w:sz w:val="21"/>
                <w:szCs w:val="21"/>
                <w:lang w:eastAsia="zh-CN"/>
              </w:rPr>
              <w:t>c）</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企业状况调查!R20C2 \a \t  \* MERGEFORMAT </w:instrText>
            </w:r>
            <w:r>
              <w:rPr>
                <w:rFonts w:hint="eastAsia" w:ascii="宋体" w:hAnsi="宋体"/>
                <w:sz w:val="21"/>
                <w:szCs w:val="21"/>
                <w:lang w:eastAsia="zh-CN"/>
              </w:rPr>
              <w:fldChar w:fldCharType="separate"/>
            </w:r>
            <w:r>
              <w:rPr>
                <w:rFonts w:hint="eastAsia" w:ascii="宋体" w:hAnsi="宋体"/>
                <w:sz w:val="21"/>
                <w:szCs w:val="21"/>
                <w:lang w:eastAsia="zh-CN"/>
              </w:rPr>
              <w:t>产品按时交付率≥95%</w:t>
            </w:r>
            <w:r>
              <w:rPr>
                <w:rFonts w:hint="eastAsia" w:ascii="宋体" w:hAnsi="宋体"/>
                <w:sz w:val="21"/>
                <w:szCs w:val="21"/>
                <w:lang w:eastAsia="zh-CN"/>
              </w:rPr>
              <w:fldChar w:fldCharType="end"/>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8931"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无</w:t>
            </w:r>
          </w:p>
          <w:p>
            <w:pPr>
              <w:spacing w:line="400" w:lineRule="exact"/>
              <w:rPr>
                <w:rFonts w:hint="eastAsia" w:ascii="宋体" w:hAnsi="宋体" w:cs="宋体"/>
                <w:sz w:val="21"/>
                <w:szCs w:val="21"/>
              </w:rPr>
            </w:pPr>
            <w:r>
              <w:rPr>
                <w:rFonts w:hint="eastAsia" w:ascii="宋体" w:hAnsi="宋体" w:cs="宋体"/>
                <w:sz w:val="21"/>
                <w:szCs w:val="21"/>
                <w:lang w:eastAsia="zh-CN"/>
              </w:rPr>
              <w:t>曲轴箱体、汽缸头、飞轮组件、水泵泵体、发电机托架</w:t>
            </w:r>
            <w:r>
              <w:rPr>
                <w:rFonts w:hint="eastAsia" w:ascii="宋体" w:hAnsi="宋体" w:cs="宋体"/>
                <w:sz w:val="21"/>
                <w:szCs w:val="21"/>
              </w:rPr>
              <w:t>等</w:t>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关键岗位人员/特殊工种人员</w:t>
            </w:r>
          </w:p>
        </w:tc>
        <w:tc>
          <w:tcPr>
            <w:tcW w:w="8931" w:type="dxa"/>
            <w:noWrap w:val="0"/>
            <w:vAlign w:val="top"/>
          </w:tcPr>
          <w:p>
            <w:pPr>
              <w:spacing w:line="400" w:lineRule="exact"/>
              <w:rPr>
                <w:rFonts w:hint="eastAsia"/>
                <w:sz w:val="21"/>
                <w:szCs w:val="21"/>
              </w:rPr>
            </w:pPr>
            <w:r>
              <w:rPr>
                <w:rFonts w:hint="eastAsia"/>
                <w:sz w:val="21"/>
                <w:szCs w:val="21"/>
                <w:lang w:val="en-US" w:eastAsia="zh-CN"/>
              </w:rPr>
              <w:t>25</w:t>
            </w:r>
            <w:r>
              <w:rPr>
                <w:rFonts w:hint="eastAsia"/>
                <w:sz w:val="21"/>
                <w:szCs w:val="21"/>
              </w:rPr>
              <w:t>人</w:t>
            </w:r>
          </w:p>
          <w:p>
            <w:pPr>
              <w:spacing w:line="400" w:lineRule="exact"/>
              <w:rPr>
                <w:rFonts w:hint="eastAsia" w:eastAsia="宋体"/>
                <w:sz w:val="21"/>
                <w:szCs w:val="21"/>
                <w:lang w:eastAsia="zh-CN"/>
              </w:rPr>
            </w:pPr>
            <w:r>
              <w:rPr>
                <w:rFonts w:hint="eastAsia"/>
                <w:color w:val="000000"/>
                <w:sz w:val="21"/>
                <w:szCs w:val="21"/>
                <w:lang w:eastAsia="zh-CN"/>
              </w:rPr>
              <w:t>无</w:t>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w:t>
            </w:r>
          </w:p>
        </w:tc>
        <w:tc>
          <w:tcPr>
            <w:tcW w:w="8931" w:type="dxa"/>
            <w:noWrap w:val="0"/>
            <w:vAlign w:val="top"/>
          </w:tcPr>
          <w:p>
            <w:pPr>
              <w:spacing w:line="400" w:lineRule="exact"/>
              <w:rPr>
                <w:rFonts w:hint="eastAsia"/>
                <w:color w:val="000000"/>
                <w:sz w:val="21"/>
                <w:szCs w:val="21"/>
                <w:lang w:eastAsia="zh-CN"/>
              </w:rPr>
            </w:pPr>
            <w:r>
              <w:rPr>
                <w:rFonts w:hint="eastAsia"/>
                <w:color w:val="000000"/>
                <w:sz w:val="21"/>
                <w:szCs w:val="21"/>
                <w:lang w:eastAsia="zh-CN"/>
              </w:rPr>
              <w:t>动力</w:t>
            </w:r>
            <w:r>
              <w:rPr>
                <w:rFonts w:hint="eastAsia"/>
                <w:color w:val="000000"/>
                <w:sz w:val="21"/>
                <w:szCs w:val="21"/>
              </w:rPr>
              <w:t>装配线、</w:t>
            </w:r>
            <w:r>
              <w:rPr>
                <w:rFonts w:hint="eastAsia"/>
                <w:color w:val="000000"/>
                <w:sz w:val="21"/>
                <w:szCs w:val="21"/>
                <w:lang w:eastAsia="zh-CN"/>
              </w:rPr>
              <w:t>机组装配线、</w:t>
            </w:r>
            <w:r>
              <w:rPr>
                <w:rFonts w:hint="eastAsia"/>
                <w:color w:val="000000"/>
                <w:sz w:val="21"/>
                <w:szCs w:val="21"/>
              </w:rPr>
              <w:t>涡轮测功台、扳手、气动</w:t>
            </w:r>
            <w:r>
              <w:rPr>
                <w:rFonts w:hint="eastAsia"/>
                <w:color w:val="000000"/>
                <w:sz w:val="21"/>
                <w:szCs w:val="21"/>
                <w:lang w:eastAsia="zh-CN"/>
              </w:rPr>
              <w:t>枪、空压机、装配工装、动力在线测试系统、打标机、包装流水线等</w:t>
            </w:r>
          </w:p>
          <w:p>
            <w:pPr>
              <w:spacing w:line="400" w:lineRule="exact"/>
              <w:rPr>
                <w:rFonts w:hint="eastAsia"/>
                <w:color w:val="000000"/>
                <w:sz w:val="21"/>
                <w:szCs w:val="21"/>
                <w:lang w:eastAsia="zh-CN"/>
              </w:rPr>
            </w:pPr>
            <w:r>
              <w:rPr>
                <w:rFonts w:hint="eastAsia"/>
                <w:color w:val="000000"/>
                <w:sz w:val="21"/>
                <w:szCs w:val="21"/>
                <w:lang w:eastAsia="zh-CN"/>
              </w:rPr>
              <w:t>无</w:t>
            </w:r>
          </w:p>
          <w:p>
            <w:pPr>
              <w:spacing w:line="400" w:lineRule="exact"/>
              <w:rPr>
                <w:rFonts w:hint="eastAsia" w:ascii="宋体" w:hAnsi="宋体" w:cs="宋体"/>
                <w:color w:val="FF0000"/>
                <w:sz w:val="21"/>
                <w:szCs w:val="21"/>
                <w:lang w:eastAsia="zh-CN"/>
              </w:rPr>
            </w:pPr>
          </w:p>
          <w:p>
            <w:pPr>
              <w:spacing w:line="400" w:lineRule="exact"/>
              <w:rPr>
                <w:rFonts w:hint="eastAsia" w:ascii="宋体" w:hAnsi="宋体" w:cs="宋体"/>
                <w:sz w:val="21"/>
                <w:szCs w:val="21"/>
              </w:rPr>
            </w:pPr>
            <w:r>
              <w:rPr>
                <w:rFonts w:hint="eastAsia" w:ascii="宋体" w:hAnsi="宋体"/>
                <w:color w:val="000000" w:themeColor="text1"/>
                <w:sz w:val="21"/>
                <w:szCs w:val="21"/>
                <w:lang w:eastAsia="zh-CN"/>
              </w:rPr>
              <w:t>转速表、</w:t>
            </w:r>
            <w:r>
              <w:rPr>
                <w:rFonts w:hint="eastAsia"/>
                <w:color w:val="000000" w:themeColor="text1"/>
                <w:szCs w:val="21"/>
              </w:rPr>
              <w:t>偏摆仪、</w:t>
            </w:r>
            <w:r>
              <w:rPr>
                <w:rFonts w:hint="eastAsia"/>
                <w:color w:val="000000" w:themeColor="text1"/>
                <w:szCs w:val="21"/>
                <w:lang w:eastAsia="zh-CN"/>
              </w:rPr>
              <w:t>红外线测温仪</w:t>
            </w:r>
            <w:r>
              <w:rPr>
                <w:rFonts w:hint="eastAsia"/>
                <w:color w:val="000000" w:themeColor="text1"/>
                <w:szCs w:val="21"/>
              </w:rPr>
              <w:t>、硬度计、</w:t>
            </w:r>
            <w:r>
              <w:rPr>
                <w:rFonts w:hint="eastAsia"/>
                <w:color w:val="000000" w:themeColor="text1"/>
                <w:szCs w:val="21"/>
                <w:lang w:eastAsia="zh-CN"/>
              </w:rPr>
              <w:t>空盒气压表</w:t>
            </w:r>
            <w:r>
              <w:rPr>
                <w:rFonts w:hint="eastAsia"/>
                <w:color w:val="000000" w:themeColor="text1"/>
                <w:szCs w:val="21"/>
              </w:rPr>
              <w:t>、</w:t>
            </w:r>
            <w:r>
              <w:rPr>
                <w:rFonts w:hint="eastAsia"/>
                <w:color w:val="000000" w:themeColor="text1"/>
                <w:szCs w:val="21"/>
                <w:lang w:eastAsia="zh-CN"/>
              </w:rPr>
              <w:t>扭矩扳子</w:t>
            </w:r>
            <w:r>
              <w:rPr>
                <w:rFonts w:hint="eastAsia"/>
                <w:color w:val="000000" w:themeColor="text1"/>
                <w:szCs w:val="21"/>
              </w:rPr>
              <w:t>、游标卡尺、千分尺、</w:t>
            </w:r>
            <w:r>
              <w:rPr>
                <w:rFonts w:hint="eastAsia"/>
                <w:color w:val="000000" w:themeColor="text1"/>
                <w:szCs w:val="21"/>
                <w:lang w:eastAsia="zh-CN"/>
              </w:rPr>
              <w:t>粗糙度仪、气动量仪校对规、百分表、平板</w:t>
            </w:r>
            <w:r>
              <w:rPr>
                <w:rFonts w:hint="eastAsia" w:ascii="宋体" w:hAnsi="宋体"/>
                <w:color w:val="000000" w:themeColor="text1"/>
                <w:sz w:val="21"/>
                <w:szCs w:val="21"/>
              </w:rPr>
              <w:t>等</w:t>
            </w:r>
            <w:r>
              <w:rPr>
                <w:rFonts w:hint="eastAsia" w:ascii="宋体" w:hAnsi="宋体" w:cs="宋体"/>
                <w:sz w:val="21"/>
                <w:szCs w:val="21"/>
                <w:lang w:eastAsia="zh-CN"/>
              </w:rPr>
              <w:t>能提供有效校准证书。</w:t>
            </w:r>
          </w:p>
        </w:tc>
        <w:tc>
          <w:tcPr>
            <w:tcW w:w="896"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ascii="宋体" w:hAnsi="宋体"/>
                <w:sz w:val="21"/>
                <w:szCs w:val="21"/>
              </w:rPr>
            </w:pPr>
          </w:p>
        </w:tc>
        <w:tc>
          <w:tcPr>
            <w:tcW w:w="1534"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8931" w:type="dxa"/>
            <w:noWrap w:val="0"/>
            <w:vAlign w:val="top"/>
          </w:tcPr>
          <w:p>
            <w:pPr>
              <w:spacing w:line="400" w:lineRule="exact"/>
              <w:rPr>
                <w:rFonts w:hint="eastAsia"/>
                <w:sz w:val="21"/>
                <w:szCs w:val="21"/>
              </w:rPr>
            </w:pPr>
            <w:r>
              <w:rPr>
                <w:rFonts w:hint="eastAsia"/>
                <w:sz w:val="21"/>
                <w:szCs w:val="21"/>
              </w:rPr>
              <w:t>暂无</w:t>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8931" w:type="dxa"/>
            <w:noWrap w:val="0"/>
            <w:vAlign w:val="top"/>
          </w:tcPr>
          <w:p>
            <w:pPr>
              <w:spacing w:line="360" w:lineRule="auto"/>
              <w:ind w:left="210" w:leftChars="100"/>
              <w:rPr>
                <w:rFonts w:hint="eastAsia"/>
                <w:sz w:val="21"/>
                <w:szCs w:val="21"/>
              </w:rPr>
            </w:pPr>
            <w:r>
              <w:rPr>
                <w:rFonts w:hint="eastAsia"/>
                <w:sz w:val="21"/>
                <w:szCs w:val="21"/>
              </w:rPr>
              <w:t>方针：质量为本、信誉至上，持续改进，争创一流，满足要求</w:t>
            </w:r>
            <w:r>
              <w:rPr>
                <w:rFonts w:hint="eastAsia"/>
                <w:sz w:val="21"/>
                <w:szCs w:val="21"/>
                <w:lang w:eastAsia="zh-CN"/>
              </w:rPr>
              <w:t>。</w:t>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8931" w:type="dxa"/>
            <w:noWrap w:val="0"/>
            <w:vAlign w:val="top"/>
          </w:tcPr>
          <w:p>
            <w:pPr>
              <w:adjustRightInd w:val="0"/>
              <w:spacing w:line="400" w:lineRule="exact"/>
              <w:textAlignment w:val="baseline"/>
              <w:rPr>
                <w:rFonts w:hint="eastAsia" w:ascii="宋体" w:hAnsi="宋体"/>
                <w:kern w:val="0"/>
                <w:sz w:val="21"/>
                <w:szCs w:val="21"/>
                <w:lang w:eastAsia="zh-CN"/>
              </w:rPr>
            </w:pPr>
            <w:r>
              <w:rPr>
                <w:rFonts w:hint="eastAsia"/>
                <w:sz w:val="21"/>
                <w:szCs w:val="21"/>
              </w:rPr>
              <w:t>建立有</w:t>
            </w:r>
            <w:r>
              <w:rPr>
                <w:rFonts w:hint="eastAsia" w:ascii="宋体" w:hAnsi="宋体"/>
                <w:kern w:val="0"/>
                <w:sz w:val="21"/>
                <w:szCs w:val="21"/>
                <w:lang w:eastAsia="zh-CN"/>
              </w:rPr>
              <w:t>《内部质量体系审核程序》</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lang w:eastAsia="zh-CN"/>
              </w:rPr>
              <w:t xml:space="preserve">见有《内部审核计划表》、《内审检查表》、《内审签到表》《内部审核报告》 </w:t>
            </w:r>
          </w:p>
          <w:p>
            <w:pPr>
              <w:adjustRightInd w:val="0"/>
              <w:spacing w:line="400" w:lineRule="exact"/>
              <w:textAlignment w:val="baseline"/>
              <w:rPr>
                <w:rFonts w:hint="default" w:ascii="宋体" w:hAnsi="宋体"/>
                <w:kern w:val="0"/>
                <w:sz w:val="21"/>
                <w:szCs w:val="21"/>
                <w:lang w:val="en-US" w:eastAsia="zh-CN"/>
              </w:rPr>
            </w:pPr>
            <w:r>
              <w:rPr>
                <w:rFonts w:hint="eastAsia" w:ascii="宋体" w:hAnsi="宋体"/>
                <w:kern w:val="0"/>
                <w:sz w:val="21"/>
                <w:szCs w:val="21"/>
                <w:lang w:eastAsia="zh-CN"/>
              </w:rPr>
              <w:t>内审时间：2019年0</w:t>
            </w:r>
            <w:r>
              <w:rPr>
                <w:rFonts w:hint="eastAsia" w:ascii="宋体" w:hAnsi="宋体"/>
                <w:kern w:val="0"/>
                <w:sz w:val="21"/>
                <w:szCs w:val="21"/>
                <w:lang w:val="en-US" w:eastAsia="zh-CN"/>
              </w:rPr>
              <w:t>6月20</w:t>
            </w:r>
            <w:r>
              <w:rPr>
                <w:rFonts w:hint="eastAsia" w:ascii="宋体" w:hAnsi="宋体"/>
                <w:kern w:val="0"/>
                <w:sz w:val="21"/>
                <w:szCs w:val="21"/>
                <w:lang w:eastAsia="zh-CN"/>
              </w:rPr>
              <w:t>日</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lang w:eastAsia="zh-CN"/>
              </w:rPr>
              <w:t xml:space="preserve">内审组组长：组长：马林珊（总经理、管代） </w:t>
            </w:r>
            <w:r>
              <w:rPr>
                <w:rFonts w:hint="eastAsia" w:ascii="宋体" w:hAnsi="宋体"/>
                <w:kern w:val="0"/>
                <w:sz w:val="21"/>
                <w:szCs w:val="21"/>
                <w:lang w:val="en-US" w:eastAsia="zh-CN"/>
              </w:rPr>
              <w:t xml:space="preserve">   </w:t>
            </w:r>
            <w:r>
              <w:rPr>
                <w:rFonts w:hint="eastAsia" w:ascii="宋体" w:hAnsi="宋体"/>
                <w:kern w:val="0"/>
                <w:sz w:val="21"/>
                <w:szCs w:val="21"/>
                <w:lang w:eastAsia="zh-CN"/>
              </w:rPr>
              <w:t xml:space="preserve">      组员：陶西平（行政部）</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lang w:eastAsia="zh-CN"/>
              </w:rPr>
              <w:t>见有：《内审不符合项报告》</w:t>
            </w:r>
            <w:r>
              <w:rPr>
                <w:rFonts w:hint="eastAsia" w:ascii="宋体" w:hAnsi="宋体"/>
                <w:kern w:val="0"/>
                <w:sz w:val="21"/>
                <w:szCs w:val="21"/>
                <w:lang w:val="en-US" w:eastAsia="zh-CN"/>
              </w:rPr>
              <w:t>1</w:t>
            </w:r>
            <w:r>
              <w:rPr>
                <w:rFonts w:hint="eastAsia" w:ascii="宋体" w:hAnsi="宋体"/>
                <w:kern w:val="0"/>
                <w:sz w:val="21"/>
                <w:szCs w:val="21"/>
                <w:lang w:eastAsia="zh-CN"/>
              </w:rPr>
              <w:t>份，涉及供销部</w:t>
            </w:r>
            <w:r>
              <w:rPr>
                <w:rFonts w:hint="eastAsia" w:ascii="宋体" w:hAnsi="宋体"/>
                <w:kern w:val="0"/>
                <w:sz w:val="21"/>
                <w:szCs w:val="21"/>
                <w:lang w:val="en-US" w:eastAsia="zh-CN"/>
              </w:rPr>
              <w:t>8.4.2，</w:t>
            </w:r>
            <w:r>
              <w:rPr>
                <w:rFonts w:hint="eastAsia" w:ascii="宋体" w:hAnsi="宋体"/>
                <w:kern w:val="0"/>
                <w:sz w:val="21"/>
                <w:szCs w:val="21"/>
                <w:lang w:eastAsia="zh-CN"/>
              </w:rPr>
              <w:t>没能提供对供应商送过来</w:t>
            </w:r>
            <w:r>
              <w:rPr>
                <w:rFonts w:hint="eastAsia" w:ascii="宋体" w:hAnsi="宋体"/>
                <w:kern w:val="0"/>
                <w:sz w:val="21"/>
                <w:szCs w:val="21"/>
              </w:rPr>
              <w:t>的一批材料进行检验的证据。针对以上不符合项，已及时采取纠正措施后，经内审员验证关闭。</w:t>
            </w:r>
          </w:p>
          <w:p>
            <w:pPr>
              <w:adjustRightInd w:val="0"/>
              <w:spacing w:line="400" w:lineRule="exact"/>
              <w:textAlignment w:val="baseline"/>
              <w:rPr>
                <w:rFonts w:hint="eastAsia" w:eastAsia="宋体"/>
                <w:sz w:val="21"/>
                <w:szCs w:val="21"/>
                <w:lang w:eastAsia="zh-CN"/>
              </w:rPr>
            </w:pPr>
            <w:r>
              <w:rPr>
                <w:rFonts w:hint="eastAsia" w:ascii="宋体" w:hAnsi="宋体"/>
                <w:kern w:val="0"/>
                <w:sz w:val="21"/>
                <w:szCs w:val="21"/>
              </w:rPr>
              <w:t>有《内部审核报告》，有审核结论</w:t>
            </w:r>
            <w:r>
              <w:rPr>
                <w:rFonts w:hint="eastAsia" w:ascii="宋体" w:hAnsi="宋体"/>
                <w:kern w:val="0"/>
                <w:sz w:val="21"/>
                <w:szCs w:val="21"/>
                <w:lang w:eastAsia="zh-CN"/>
              </w:rPr>
              <w:t>：</w:t>
            </w:r>
            <w:r>
              <w:rPr>
                <w:rFonts w:hint="eastAsia" w:ascii="宋体" w:hAnsi="宋体"/>
                <w:kern w:val="0"/>
                <w:sz w:val="21"/>
                <w:szCs w:val="21"/>
              </w:rPr>
              <w:t>体系运行还是适宜的，充分和有效的，能够保证产品质量与管理水平。</w:t>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8931" w:type="dxa"/>
            <w:noWrap w:val="0"/>
            <w:vAlign w:val="top"/>
          </w:tcPr>
          <w:p>
            <w:pPr>
              <w:spacing w:line="380" w:lineRule="exact"/>
              <w:rPr>
                <w:rFonts w:hint="eastAsia" w:ascii="宋体" w:hAnsi="宋体"/>
                <w:sz w:val="21"/>
                <w:szCs w:val="21"/>
              </w:rPr>
            </w:pPr>
            <w:r>
              <w:rPr>
                <w:rFonts w:hint="eastAsia" w:ascii="宋体" w:hAnsi="宋体"/>
                <w:sz w:val="21"/>
                <w:szCs w:val="21"/>
              </w:rPr>
              <w:t>查见《管理评审计划》、《管理评审报告》</w:t>
            </w:r>
          </w:p>
          <w:p>
            <w:pPr>
              <w:spacing w:before="50" w:after="163" w:afterLines="50" w:line="360" w:lineRule="auto"/>
              <w:rPr>
                <w:rFonts w:hint="eastAsia" w:ascii="宋体" w:hAnsi="宋体"/>
                <w:sz w:val="21"/>
                <w:szCs w:val="21"/>
              </w:rPr>
            </w:pPr>
            <w:r>
              <w:rPr>
                <w:rFonts w:hint="eastAsia" w:ascii="宋体" w:hAnsi="宋体"/>
                <w:sz w:val="21"/>
                <w:szCs w:val="21"/>
              </w:rPr>
              <w:t>管理评审</w:t>
            </w:r>
            <w:r>
              <w:rPr>
                <w:rFonts w:hint="eastAsia" w:ascii="宋体" w:hAnsi="宋体"/>
                <w:kern w:val="0"/>
                <w:sz w:val="21"/>
                <w:szCs w:val="21"/>
              </w:rPr>
              <w:t>于</w:t>
            </w:r>
            <w:r>
              <w:rPr>
                <w:rFonts w:hint="eastAsia" w:ascii="宋体" w:hAnsi="宋体"/>
                <w:kern w:val="0"/>
                <w:sz w:val="21"/>
                <w:szCs w:val="21"/>
                <w:lang w:eastAsia="zh-CN"/>
              </w:rPr>
              <w:t>2019年7月</w:t>
            </w:r>
            <w:r>
              <w:rPr>
                <w:rFonts w:hint="eastAsia" w:ascii="宋体" w:hAnsi="宋体"/>
                <w:kern w:val="0"/>
                <w:sz w:val="21"/>
                <w:szCs w:val="21"/>
              </w:rPr>
              <w:t>20日由总经理</w:t>
            </w:r>
            <w:r>
              <w:rPr>
                <w:rFonts w:hint="eastAsia" w:ascii="宋体" w:hAnsi="宋体"/>
                <w:sz w:val="21"/>
                <w:szCs w:val="21"/>
              </w:rPr>
              <w:t>主持完成。</w:t>
            </w:r>
          </w:p>
          <w:p>
            <w:pPr>
              <w:adjustRightInd w:val="0"/>
              <w:spacing w:line="400" w:lineRule="exact"/>
              <w:textAlignment w:val="baseline"/>
              <w:rPr>
                <w:rFonts w:hint="eastAsia" w:ascii="宋体"/>
                <w:kern w:val="0"/>
                <w:sz w:val="21"/>
                <w:szCs w:val="21"/>
              </w:rPr>
            </w:pPr>
            <w:r>
              <w:rPr>
                <w:rFonts w:hint="eastAsia" w:ascii="宋体" w:hAnsi="宋体"/>
                <w:kern w:val="0"/>
                <w:sz w:val="21"/>
                <w:szCs w:val="21"/>
              </w:rPr>
              <w:t>提供主要输入材料有：各类评审报告、体系运行报告，</w:t>
            </w:r>
            <w:r>
              <w:rPr>
                <w:rFonts w:hint="eastAsia" w:ascii="宋体"/>
                <w:kern w:val="0"/>
                <w:sz w:val="21"/>
                <w:szCs w:val="21"/>
              </w:rPr>
              <w:t>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spacing w:line="276" w:lineRule="auto"/>
              <w:rPr>
                <w:rFonts w:hint="eastAsia" w:ascii="宋体" w:hAnsi="宋体" w:eastAsia="宋体"/>
                <w:kern w:val="0"/>
                <w:sz w:val="21"/>
                <w:szCs w:val="21"/>
                <w:u w:val="single"/>
                <w:lang w:eastAsia="zh-CN"/>
              </w:rPr>
            </w:pPr>
            <w:r>
              <w:rPr>
                <w:rFonts w:hint="eastAsia" w:ascii="宋体"/>
                <w:kern w:val="0"/>
                <w:sz w:val="21"/>
                <w:szCs w:val="21"/>
              </w:rPr>
              <w:t>加强顾客满意度测量、统计技术及应用的培训需求，</w:t>
            </w:r>
            <w:r>
              <w:rPr>
                <w:rFonts w:hint="eastAsia" w:ascii="宋体"/>
                <w:kern w:val="0"/>
                <w:sz w:val="21"/>
                <w:szCs w:val="21"/>
                <w:lang w:eastAsia="zh-CN"/>
              </w:rPr>
              <w:t>行政</w:t>
            </w:r>
            <w:r>
              <w:rPr>
                <w:rFonts w:hint="eastAsia" w:ascii="宋体"/>
                <w:kern w:val="0"/>
                <w:sz w:val="21"/>
                <w:szCs w:val="21"/>
              </w:rPr>
              <w:t>部将此类专业技术培训纳入今年的培训计划。</w:t>
            </w:r>
          </w:p>
        </w:tc>
        <w:tc>
          <w:tcPr>
            <w:tcW w:w="896" w:type="dxa"/>
            <w:noWrap w:val="0"/>
            <w:vAlign w:val="top"/>
          </w:tcPr>
          <w:p>
            <w:pPr>
              <w:spacing w:line="440" w:lineRule="exact"/>
              <w:jc w:val="center"/>
              <w:rPr>
                <w:rFonts w:ascii="宋体" w:hAnsi="宋体"/>
                <w:sz w:val="21"/>
                <w:szCs w:val="21"/>
              </w:rPr>
            </w:pPr>
          </w:p>
        </w:tc>
        <w:tc>
          <w:tcPr>
            <w:tcW w:w="1534" w:type="dxa"/>
            <w:noWrap w:val="0"/>
            <w:vAlign w:val="top"/>
          </w:tcPr>
          <w:p>
            <w:pPr>
              <w:spacing w:line="440" w:lineRule="exact"/>
              <w:jc w:val="center"/>
              <w:rPr>
                <w:rFonts w:ascii="宋体" w:hAnsi="宋体"/>
                <w:sz w:val="21"/>
                <w:szCs w:val="21"/>
              </w:rPr>
            </w:pPr>
          </w:p>
        </w:tc>
      </w:tr>
    </w:tbl>
    <w:p>
      <w:pPr>
        <w:spacing w:line="480" w:lineRule="exact"/>
        <w:jc w:val="center"/>
        <w:rPr>
          <w:rFonts w:hint="eastAsia" w:ascii="隶书" w:hAnsi="宋体" w:eastAsia="隶书"/>
          <w:bCs/>
          <w:color w:val="000000"/>
          <w:sz w:val="36"/>
          <w:szCs w:val="36"/>
        </w:rPr>
      </w:pPr>
    </w:p>
    <w:p>
      <w:r>
        <w:ptab w:relativeTo="margin" w:alignment="center" w:leader="none"/>
      </w:r>
    </w:p>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1636FB"/>
    <w:rsid w:val="15AD2D78"/>
    <w:rsid w:val="17081A7D"/>
    <w:rsid w:val="179F4362"/>
    <w:rsid w:val="186D4955"/>
    <w:rsid w:val="21C4751E"/>
    <w:rsid w:val="2D2D0E8A"/>
    <w:rsid w:val="367F57C1"/>
    <w:rsid w:val="3A27440D"/>
    <w:rsid w:val="474B18C6"/>
    <w:rsid w:val="4E547D34"/>
    <w:rsid w:val="565C7C2E"/>
    <w:rsid w:val="601C23DC"/>
    <w:rsid w:val="648C0762"/>
    <w:rsid w:val="6E547CE0"/>
    <w:rsid w:val="725E5AEA"/>
    <w:rsid w:val="73775094"/>
    <w:rsid w:val="761B7CF6"/>
    <w:rsid w:val="7768634E"/>
    <w:rsid w:val="77EE54E0"/>
    <w:rsid w:val="79C952B5"/>
    <w:rsid w:val="7F9B0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2019-10-18T08:38:16Z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