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Times New Roman"/>
          <w:b/>
          <w:color w:val="000000"/>
          <w:sz w:val="32"/>
          <w:szCs w:val="32"/>
        </w:rPr>
        <w:t>重庆旭纳科技有限责任公司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2018-N1QMS-2207381</w:t>
            </w:r>
          </w:p>
        </w:tc>
        <w:tc>
          <w:tcPr>
            <w:tcW w:w="1728" w:type="dxa"/>
            <w:gridSpan w:val="2"/>
            <w:vAlign w:val="center"/>
          </w:tcPr>
          <w:p>
            <w:pPr>
              <w:jc w:val="center"/>
              <w:rPr>
                <w:b/>
                <w:sz w:val="21"/>
                <w:szCs w:val="21"/>
              </w:rPr>
            </w:pPr>
            <w:r>
              <w:rPr>
                <w:b/>
                <w:sz w:val="21"/>
                <w:szCs w:val="21"/>
              </w:rPr>
              <w:t>29.10.07,33.02.02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冉景洲</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2020-N1QMS-1267598</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ISC-267598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ascii="宋体"/>
                <w:b/>
                <w:color w:val="auto"/>
                <w:sz w:val="21"/>
              </w:rPr>
              <w:t>重庆旭纳科技有限责任公司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重庆市九龙坡区科园四路170号4-1023</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重庆市九龙坡区科园四路170号4-1023</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重庆市九龙坡区科园四路170号4-1023</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贺豫</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023-88110379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刘鉴锋</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hint="eastAsia" w:ascii="宋体" w:hAnsi="宋体" w:cs="Times New Roman"/>
                <w:b/>
                <w:sz w:val="21"/>
                <w:szCs w:val="21"/>
                <w:lang w:eastAsia="zh-CN"/>
              </w:rPr>
              <w:t>刘鉴锋</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贺豫</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2021年01月19日 下午至2021年01月19日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color w:val="auto"/>
                <w:sz w:val="20"/>
              </w:rPr>
              <w:t>计算机信息系统集成,社会公共安全设备的销售</w:t>
            </w:r>
            <w:bookmarkEnd w:id="25"/>
            <w:bookmarkEnd w:id="26"/>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29.10.07;33.02.02</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2022.11.25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b/>
                <w:sz w:val="20"/>
              </w:rPr>
              <w:t>2019年11月19日 上午至20日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11</w:t>
      </w:r>
      <w:r>
        <w:rPr>
          <w:rFonts w:hint="eastAsia" w:ascii="宋体" w:hAnsi="宋体"/>
          <w:b/>
          <w:sz w:val="21"/>
          <w:szCs w:val="21"/>
        </w:rPr>
        <w:t>月</w:t>
      </w:r>
      <w:r>
        <w:rPr>
          <w:rFonts w:hint="eastAsia" w:ascii="宋体" w:hAnsi="宋体"/>
          <w:b/>
          <w:sz w:val="21"/>
          <w:szCs w:val="21"/>
          <w:lang w:val="en-US" w:eastAsia="zh-CN"/>
        </w:rPr>
        <w:t>20</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241" w:right="113" w:hanging="211" w:hangingChars="100"/>
              <w:jc w:val="center"/>
              <w:rPr>
                <w:rFonts w:ascii="宋体"/>
                <w:b/>
                <w:sz w:val="21"/>
                <w:szCs w:val="21"/>
              </w:rPr>
            </w:pPr>
            <w:r>
              <w:rPr>
                <w:rFonts w:ascii="宋体" w:hAnsi="宋体"/>
                <w:b/>
                <w:sz w:val="21"/>
                <w:szCs w:val="21"/>
              </w:rPr>
              <w:t>(</w:t>
            </w:r>
            <w:r>
              <w:rPr>
                <w:rFonts w:hint="eastAsia" w:ascii="宋体" w:hAnsi="宋体"/>
                <w:b/>
                <w:sz w:val="21"/>
                <w:szCs w:val="21"/>
              </w:rPr>
              <w:t>一</w:t>
            </w:r>
            <w:r>
              <w:rPr>
                <w:rFonts w:ascii="宋体" w:hAnsi="宋体"/>
                <w:b/>
                <w:sz w:val="21"/>
                <w:szCs w:val="21"/>
              </w:rPr>
              <w:t>)</w:t>
            </w:r>
            <w:r>
              <w:rPr>
                <w:rFonts w:hint="eastAsia" w:ascii="宋体" w:hAnsi="宋体"/>
                <w:b/>
                <w:sz w:val="21"/>
                <w:szCs w:val="21"/>
              </w:rPr>
              <w:t>策划的充分与合理性</w:t>
            </w:r>
          </w:p>
        </w:tc>
        <w:tc>
          <w:tcPr>
            <w:tcW w:w="9198" w:type="dxa"/>
            <w:vAlign w:val="top"/>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组织对内外部因素、相关方需求和期望进行了充分的识别，策划和实施有效。组织确定了体系的边界，基本适用。管理体系条款</w:t>
            </w:r>
            <w:r>
              <w:rPr>
                <w:rFonts w:hint="eastAsia" w:ascii="宋体" w:hAnsi="宋体"/>
                <w:color w:val="000000" w:themeColor="text1"/>
                <w:sz w:val="21"/>
                <w:szCs w:val="21"/>
                <w:lang w:eastAsia="zh-CN"/>
              </w:rPr>
              <w:t>无</w:t>
            </w:r>
            <w:r>
              <w:rPr>
                <w:rFonts w:hint="eastAsia" w:ascii="宋体" w:hAnsi="宋体"/>
                <w:color w:val="000000" w:themeColor="text1"/>
                <w:sz w:val="21"/>
                <w:szCs w:val="21"/>
              </w:rPr>
              <w:t>不适用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80" w:lineRule="exact"/>
              <w:rPr>
                <w:rFonts w:ascii="宋体" w:hAnsi="宋体"/>
                <w:b/>
                <w:color w:val="000000" w:themeColor="text1"/>
                <w:sz w:val="21"/>
                <w:szCs w:val="21"/>
              </w:rPr>
            </w:pPr>
            <w:r>
              <w:rPr>
                <w:b/>
                <w:color w:val="000000" w:themeColor="text1"/>
                <w:sz w:val="21"/>
                <w:szCs w:val="21"/>
              </w:rPr>
              <w:t>3.</w:t>
            </w:r>
            <w:r>
              <w:rPr>
                <w:rFonts w:hint="eastAsia"/>
                <w:b/>
                <w:color w:val="000000" w:themeColor="text1"/>
                <w:sz w:val="21"/>
                <w:szCs w:val="21"/>
              </w:rPr>
              <w:t>■</w:t>
            </w:r>
            <w:r>
              <w:rPr>
                <w:rFonts w:hint="eastAsia" w:ascii="宋体" w:hAnsi="宋体"/>
                <w:b/>
                <w:color w:val="000000" w:themeColor="text1"/>
                <w:sz w:val="21"/>
                <w:szCs w:val="21"/>
              </w:rPr>
              <w:t>质量/■环境/■职业健康安全方针（组织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p>
          <w:p>
            <w:pPr>
              <w:spacing w:line="400" w:lineRule="exact"/>
              <w:rPr>
                <w:rFonts w:ascii="Times New Roman" w:hAnsi="Times New Roman" w:eastAsia="宋体" w:cs="Times New Roman"/>
                <w:b/>
                <w:color w:val="000000" w:themeColor="text1"/>
                <w:kern w:val="2"/>
                <w:sz w:val="21"/>
                <w:szCs w:val="21"/>
                <w:lang w:val="en-US" w:eastAsia="zh-CN" w:bidi="ar-SA"/>
              </w:rPr>
            </w:pP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sz w:val="21"/>
                <w:szCs w:val="21"/>
              </w:rPr>
              <w:t>质量方针：</w:t>
            </w:r>
            <w:r>
              <w:rPr>
                <w:rFonts w:hint="eastAsia" w:ascii="宋体" w:hAnsi="宋体"/>
                <w:sz w:val="21"/>
                <w:szCs w:val="21"/>
                <w:lang w:eastAsia="zh-CN"/>
              </w:rPr>
              <w:t>勇于创新、持续发展企业、品质一流、满足客户需求。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textDirection w:val="tbRlV"/>
            <w:vAlign w:val="center"/>
          </w:tcPr>
          <w:p>
            <w:pPr>
              <w:spacing w:line="240" w:lineRule="exact"/>
              <w:ind w:left="241" w:right="113" w:hanging="211" w:hangingChars="100"/>
              <w:jc w:val="center"/>
              <w:rPr>
                <w:rFonts w:ascii="宋体"/>
                <w:b/>
                <w:sz w:val="21"/>
                <w:szCs w:val="21"/>
              </w:rPr>
            </w:pPr>
          </w:p>
        </w:tc>
        <w:tc>
          <w:tcPr>
            <w:tcW w:w="9198" w:type="dxa"/>
            <w:vAlign w:val="top"/>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630" w:firstLineChars="300"/>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制定并实施了相关程序和安全生产管理制度</w:t>
            </w:r>
            <w:r>
              <w:rPr>
                <w:rFonts w:ascii="宋体" w:hAnsi="宋体"/>
                <w:color w:val="000000" w:themeColor="text1"/>
                <w:sz w:val="21"/>
                <w:szCs w:val="21"/>
              </w:rPr>
              <w:t>，</w:t>
            </w:r>
            <w:r>
              <w:rPr>
                <w:rFonts w:hint="eastAsia" w:ascii="宋体" w:hAnsi="宋体"/>
                <w:color w:val="000000" w:themeColor="text1"/>
                <w:sz w:val="21"/>
                <w:szCs w:val="2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5.</w:t>
            </w:r>
            <w:r>
              <w:rPr>
                <w:b/>
                <w:color w:val="000000" w:themeColor="text1"/>
                <w:sz w:val="21"/>
                <w:szCs w:val="21"/>
              </w:rPr>
              <w:t>QMS</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质量管理体系过程有：合同评审、生产</w:t>
            </w:r>
            <w:r>
              <w:rPr>
                <w:rFonts w:hint="eastAsia" w:ascii="宋体" w:hAnsi="宋体"/>
                <w:b/>
                <w:color w:val="000000" w:themeColor="text1"/>
                <w:sz w:val="21"/>
                <w:szCs w:val="21"/>
                <w:lang w:eastAsia="zh-CN"/>
              </w:rPr>
              <w:t>经营</w:t>
            </w:r>
            <w:r>
              <w:rPr>
                <w:rFonts w:hint="eastAsia" w:ascii="宋体" w:hAnsi="宋体"/>
                <w:b/>
                <w:color w:val="000000" w:themeColor="text1"/>
                <w:sz w:val="21"/>
                <w:szCs w:val="21"/>
              </w:rPr>
              <w:t>管理过程。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其中关键过程有：</w:t>
            </w:r>
            <w:r>
              <w:rPr>
                <w:rFonts w:hint="eastAsia" w:ascii="宋体" w:hAnsi="宋体"/>
                <w:b/>
                <w:color w:val="000000" w:themeColor="text1"/>
                <w:sz w:val="21"/>
                <w:szCs w:val="21"/>
                <w:lang w:eastAsia="zh-CN"/>
              </w:rPr>
              <w:t>安装</w:t>
            </w:r>
            <w:r>
              <w:rPr>
                <w:rFonts w:hint="eastAsia" w:ascii="宋体" w:hAnsi="宋体"/>
                <w:b/>
                <w:color w:val="000000" w:themeColor="text1"/>
                <w:sz w:val="21"/>
                <w:szCs w:val="21"/>
              </w:rPr>
              <w:t>过程。</w:t>
            </w:r>
          </w:p>
          <w:p>
            <w:pPr>
              <w:tabs>
                <w:tab w:val="left" w:pos="540"/>
              </w:tabs>
              <w:spacing w:line="300" w:lineRule="exact"/>
              <w:ind w:left="201" w:hanging="211" w:hangingChars="100"/>
              <w:rPr>
                <w:rFonts w:ascii="宋体" w:hAnsi="宋体"/>
                <w:b/>
                <w:color w:val="000000" w:themeColor="text1"/>
                <w:sz w:val="21"/>
                <w:szCs w:val="21"/>
                <w:u w:val="single"/>
              </w:rPr>
            </w:pPr>
            <w:r>
              <w:rPr>
                <w:rFonts w:hint="eastAsia" w:ascii="宋体" w:hAnsi="宋体"/>
                <w:b/>
                <w:color w:val="000000" w:themeColor="text1"/>
                <w:sz w:val="21"/>
                <w:szCs w:val="21"/>
              </w:rPr>
              <w:t>需要确认过程：</w:t>
            </w:r>
            <w:r>
              <w:rPr>
                <w:rFonts w:hint="eastAsia" w:ascii="宋体" w:hAnsi="宋体"/>
                <w:b/>
                <w:color w:val="000000" w:themeColor="text1"/>
                <w:sz w:val="21"/>
                <w:szCs w:val="21"/>
                <w:lang w:eastAsia="zh-CN"/>
              </w:rPr>
              <w:t>隐蔽工程、销售过程</w:t>
            </w:r>
            <w:r>
              <w:rPr>
                <w:rFonts w:hint="eastAsia" w:ascii="宋体" w:hAnsi="宋体"/>
                <w:b/>
                <w:color w:val="000000" w:themeColor="text1"/>
                <w:sz w:val="21"/>
                <w:szCs w:val="21"/>
              </w:rPr>
              <w:t xml:space="preserve">。  </w:t>
            </w:r>
          </w:p>
          <w:p>
            <w:pPr>
              <w:spacing w:line="400" w:lineRule="exact"/>
              <w:rPr>
                <w:rFonts w:ascii="宋体" w:hAnsi="宋体" w:eastAsia="宋体" w:cs="Times New Roman"/>
                <w:b/>
                <w:color w:val="000000" w:themeColor="text1"/>
                <w:kern w:val="2"/>
                <w:sz w:val="21"/>
                <w:szCs w:val="21"/>
                <w:lang w:val="en-US" w:eastAsia="zh-CN" w:bidi="ar-SA"/>
              </w:rPr>
            </w:pPr>
            <w:r>
              <w:rPr>
                <w:rFonts w:ascii="宋体" w:hAnsi="宋体"/>
                <w:b/>
                <w:color w:val="000000" w:themeColor="text1"/>
                <w:sz w:val="21"/>
                <w:szCs w:val="21"/>
              </w:rPr>
              <w:pict>
                <v:shape id="_x0000_s2052" o:spid="_x0000_s2052" o:spt="32" type="#_x0000_t32" style="position:absolute;left:0pt;margin-left:55.15pt;margin-top:21.2pt;height:0pt;width:42pt;z-index:25170022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1"/>
                <w:szCs w:val="21"/>
              </w:rPr>
              <w:t xml:space="preserve">不适用条款是 </w:t>
            </w:r>
            <w:r>
              <w:rPr>
                <w:rFonts w:hint="eastAsia" w:ascii="宋体" w:hAnsi="宋体"/>
                <w:b/>
                <w:color w:val="000000" w:themeColor="text1"/>
                <w:sz w:val="21"/>
                <w:szCs w:val="21"/>
                <w:lang w:eastAsia="zh-CN"/>
              </w:rPr>
              <w:t>无</w:t>
            </w:r>
            <w:r>
              <w:rPr>
                <w:rFonts w:hint="eastAsia" w:ascii="宋体" w:hAnsi="宋体"/>
                <w:b/>
                <w:color w:val="000000" w:themeColor="text1"/>
                <w:sz w:val="21"/>
                <w:szCs w:val="21"/>
              </w:rPr>
              <w:t xml:space="preserve">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5" w:firstLineChars="150"/>
              <w:rPr>
                <w:rFonts w:hint="eastAsia" w:cs="Times New Roman" w:asciiTheme="minorEastAsia" w:hAnsiTheme="minorEastAsia" w:eastAsiaTheme="minorEastAsia"/>
                <w:b/>
                <w:color w:val="000000" w:themeColor="text1"/>
                <w:kern w:val="2"/>
                <w:sz w:val="21"/>
                <w:szCs w:val="21"/>
                <w:lang w:val="en-US" w:eastAsia="zh-CN" w:bidi="ar-SA"/>
              </w:rPr>
            </w:pPr>
            <w:r>
              <w:rPr>
                <w:rFonts w:hint="eastAsia" w:asciiTheme="minorEastAsia" w:hAnsiTheme="minorEastAsia" w:eastAsiaTheme="minorEastAsia"/>
                <w:bCs/>
                <w:i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420" w:firstLineChars="200"/>
              <w:rPr>
                <w:rFonts w:hint="eastAsia" w:ascii="宋体" w:hAnsi="宋体" w:eastAsia="宋体" w:cs="Times New Roman"/>
                <w:b/>
                <w:color w:val="000000" w:themeColor="text1"/>
                <w:spacing w:val="-8"/>
                <w:kern w:val="2"/>
                <w:sz w:val="21"/>
                <w:szCs w:val="21"/>
                <w:lang w:val="en-US" w:eastAsia="zh-CN" w:bidi="ar-SA"/>
              </w:rPr>
            </w:pPr>
            <w:r>
              <w:rPr>
                <w:rFonts w:hint="eastAsia" w:ascii="宋体" w:hAnsi="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pacing w:val="-4"/>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tabs>
                <w:tab w:val="left" w:pos="540"/>
              </w:tabs>
              <w:spacing w:line="300" w:lineRule="exact"/>
              <w:ind w:left="211" w:hanging="211" w:hangingChars="100"/>
              <w:rPr>
                <w:rFonts w:ascii="宋体" w:hAnsi="宋体"/>
                <w:b/>
                <w:color w:val="000000" w:themeColor="text1"/>
                <w:sz w:val="21"/>
                <w:szCs w:val="21"/>
              </w:rPr>
            </w:pPr>
          </w:p>
          <w:p>
            <w:pPr>
              <w:pStyle w:val="14"/>
              <w:numPr>
                <w:ilvl w:val="0"/>
                <w:numId w:val="1"/>
              </w:numPr>
              <w:tabs>
                <w:tab w:val="left" w:pos="540"/>
              </w:tabs>
              <w:spacing w:line="300" w:lineRule="exact"/>
              <w:ind w:firstLineChars="0"/>
              <w:rPr>
                <w:rFonts w:ascii="宋体" w:hAnsi="宋体"/>
                <w:b/>
                <w:color w:val="000000" w:themeColor="text1"/>
                <w:sz w:val="21"/>
                <w:szCs w:val="21"/>
                <w:u w:val="single"/>
              </w:rPr>
            </w:pPr>
            <w:r>
              <w:rPr>
                <w:rFonts w:hint="eastAsia" w:ascii="宋体" w:hAnsi="宋体"/>
                <w:b/>
                <w:color w:val="000000" w:themeColor="text1"/>
                <w:sz w:val="21"/>
                <w:szCs w:val="21"/>
              </w:rPr>
              <w:t>获取法律法规项，■法律法规获取充分，□法律法规获取有遗漏，缺少</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结合公司的■产品/服务□环境因素□危险源，■确定 □未确定法律法规要求的具体条款，</w:t>
            </w:r>
          </w:p>
          <w:p>
            <w:pPr>
              <w:pStyle w:val="14"/>
              <w:numPr>
                <w:ilvl w:val="0"/>
                <w:numId w:val="1"/>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4"/>
              <w:numPr>
                <w:ilvl w:val="0"/>
                <w:numId w:val="1"/>
              </w:numPr>
              <w:tabs>
                <w:tab w:val="left" w:pos="540"/>
              </w:tabs>
              <w:spacing w:line="300" w:lineRule="exact"/>
              <w:ind w:left="420" w:leftChars="0" w:hanging="420" w:firstLineChars="0"/>
              <w:rPr>
                <w:rFonts w:ascii="Times New Roman" w:hAnsi="Times New Roman" w:eastAsia="宋体" w:cs="Times New Roman"/>
                <w:b/>
                <w:color w:val="000000" w:themeColor="text1"/>
                <w:kern w:val="2"/>
                <w:sz w:val="21"/>
                <w:szCs w:val="21"/>
                <w:lang w:val="en-US" w:eastAsia="zh-CN" w:bidi="ar-SA"/>
              </w:rPr>
            </w:pPr>
            <w:r>
              <w:rPr>
                <w:rFonts w:hint="eastAsia" w:ascii="宋体" w:hAnsi="宋体"/>
                <w:b/>
                <w:color w:val="000000" w:themeColor="text1"/>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highlight w:val="none"/>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rPr>
                <w:rFonts w:hint="eastAsia" w:ascii="宋体" w:hAnsi="宋体"/>
                <w:sz w:val="21"/>
                <w:szCs w:val="21"/>
                <w:highlight w:val="none"/>
              </w:rPr>
            </w:pPr>
            <w:r>
              <w:rPr>
                <w:rFonts w:hint="eastAsia" w:ascii="宋体" w:hAnsi="宋体"/>
                <w:sz w:val="21"/>
                <w:szCs w:val="21"/>
                <w:highlight w:val="none"/>
              </w:rPr>
              <w:t>质量目标</w:t>
            </w:r>
          </w:p>
          <w:p>
            <w:pPr>
              <w:spacing w:line="400" w:lineRule="exact"/>
              <w:rPr>
                <w:rFonts w:ascii="宋体" w:hAnsi="宋体" w:eastAsia="宋体" w:cs="宋体"/>
                <w:color w:val="FF0000"/>
                <w:kern w:val="2"/>
                <w:sz w:val="21"/>
                <w:szCs w:val="21"/>
                <w:lang w:val="en-US" w:eastAsia="zh-CN" w:bidi="ar-SA"/>
              </w:rPr>
            </w:pPr>
            <w:r>
              <w:rPr>
                <w:rFonts w:hint="eastAsia" w:ascii="宋体" w:hAnsi="宋体"/>
                <w:sz w:val="21"/>
                <w:szCs w:val="21"/>
                <w:highlight w:val="none"/>
                <w:lang w:val="en-US" w:eastAsia="zh-CN"/>
              </w:rPr>
              <w:t>a、重大质量/安全事故为0；</w:t>
            </w:r>
            <w:r>
              <w:rPr>
                <w:rFonts w:hint="eastAsia" w:ascii="宋体" w:hAnsi="宋体"/>
                <w:sz w:val="21"/>
                <w:szCs w:val="21"/>
                <w:highlight w:val="none"/>
                <w:lang w:val="en-US" w:eastAsia="zh-CN"/>
              </w:rPr>
              <w:br w:type="textWrapping"/>
            </w:r>
            <w:r>
              <w:rPr>
                <w:rFonts w:hint="eastAsia" w:ascii="宋体" w:hAnsi="宋体"/>
                <w:sz w:val="21"/>
                <w:szCs w:val="21"/>
                <w:highlight w:val="none"/>
                <w:lang w:val="en-US" w:eastAsia="zh-CN"/>
              </w:rPr>
              <w:t>b、客户满意率90%以上</w:t>
            </w:r>
            <w:r>
              <w:rPr>
                <w:rFonts w:hint="eastAsia" w:ascii="宋体" w:hAnsi="宋体"/>
                <w:sz w:val="21"/>
                <w:szCs w:val="21"/>
                <w:highlight w:val="none"/>
                <w:lang w:val="en-US" w:eastAsia="zh-CN"/>
              </w:rPr>
              <w:br w:type="textWrapping"/>
            </w:r>
            <w:r>
              <w:rPr>
                <w:rFonts w:hint="eastAsia" w:ascii="宋体" w:hAnsi="宋体"/>
                <w:sz w:val="21"/>
                <w:szCs w:val="21"/>
                <w:highlight w:val="none"/>
                <w:lang w:val="en-US" w:eastAsia="zh-CN"/>
              </w:rPr>
              <w:t xml:space="preserve">C、集成项目一次交验合格率≥98%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630" w:firstLineChars="300"/>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themeColor="text1"/>
                <w:sz w:val="21"/>
                <w:szCs w:val="21"/>
              </w:rPr>
              <w:t>公司按照申请认证的标准要求，建立并形成了文件化的质量管理体系，体系文件对管理体系各过程进行了识别确定、明确了各要素间的相互关系及其管控要求。公司体系文件于</w:t>
            </w:r>
            <w:r>
              <w:rPr>
                <w:rFonts w:hint="eastAsia" w:ascii="宋体" w:hAnsi="宋体" w:cs="Arial"/>
                <w:color w:val="000000" w:themeColor="text1"/>
                <w:sz w:val="21"/>
                <w:szCs w:val="21"/>
              </w:rPr>
              <w:t>2019</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 w:val="21"/>
                <w:szCs w:val="21"/>
              </w:rPr>
            </w:pPr>
            <w:r>
              <w:rPr>
                <w:b/>
                <w:sz w:val="21"/>
                <w:szCs w:val="21"/>
              </w:rPr>
              <w:br w:type="page"/>
            </w:r>
            <w:r>
              <w:rPr>
                <w:rFonts w:ascii="宋体" w:hAnsi="宋体"/>
                <w:b/>
                <w:sz w:val="21"/>
                <w:szCs w:val="21"/>
              </w:rPr>
              <w:t>(</w:t>
            </w:r>
            <w:r>
              <w:rPr>
                <w:rFonts w:hint="eastAsia" w:ascii="宋体" w:hAnsi="宋体"/>
                <w:b/>
                <w:sz w:val="21"/>
                <w:szCs w:val="21"/>
              </w:rPr>
              <w:t>二</w:t>
            </w:r>
            <w:r>
              <w:rPr>
                <w:rFonts w:ascii="宋体" w:hAnsi="宋体"/>
                <w:b/>
                <w:sz w:val="21"/>
                <w:szCs w:val="21"/>
              </w:rPr>
              <w:t>)</w:t>
            </w:r>
            <w:r>
              <w:rPr>
                <w:rFonts w:hint="eastAsia" w:ascii="宋体" w:hAnsi="宋体"/>
                <w:b/>
                <w:sz w:val="21"/>
                <w:szCs w:val="21"/>
              </w:rPr>
              <w:t>资源评价</w:t>
            </w:r>
          </w:p>
        </w:tc>
        <w:tc>
          <w:tcPr>
            <w:tcW w:w="9198" w:type="dxa"/>
            <w:vAlign w:val="top"/>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ind w:firstLine="420" w:firstLineChars="200"/>
              <w:rPr>
                <w:rFonts w:ascii="宋体" w:hAnsi="宋体" w:eastAsia="宋体" w:cs="Times New Roman"/>
                <w:b/>
                <w:color w:val="000000" w:themeColor="text1"/>
                <w:kern w:val="2"/>
                <w:sz w:val="21"/>
                <w:szCs w:val="21"/>
                <w:lang w:val="en-US" w:eastAsia="zh-CN" w:bidi="ar-SA"/>
              </w:rPr>
            </w:pPr>
            <w:r>
              <w:rPr>
                <w:rFonts w:hint="eastAsia" w:ascii="宋体" w:hAnsi="宋体"/>
                <w:bCs/>
                <w:iCs/>
                <w:sz w:val="21"/>
                <w:szCs w:val="21"/>
              </w:rPr>
              <w:t>组织按管理体系需求配置了充足的人员、设施等资源，并建立维持了</w:t>
            </w:r>
            <w:r>
              <w:rPr>
                <w:rFonts w:hint="eastAsia" w:ascii="宋体" w:hAnsi="宋体"/>
                <w:sz w:val="21"/>
                <w:szCs w:val="21"/>
              </w:rPr>
              <w:t>计算机信息系统集成,社会公共安全设备的销售的</w:t>
            </w:r>
            <w:r>
              <w:rPr>
                <w:rFonts w:hint="eastAsia" w:ascii="宋体" w:hAnsi="宋体"/>
                <w:bCs/>
                <w:iCs/>
                <w:sz w:val="21"/>
                <w:szCs w:val="21"/>
              </w:rPr>
              <w:t>运行环境，可以维持管理体系的正常运行。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sz w:val="21"/>
                <w:szCs w:val="21"/>
              </w:rPr>
              <w:t>办公面积</w:t>
            </w:r>
            <w:r>
              <w:rPr>
                <w:rFonts w:hint="eastAsia" w:ascii="宋体" w:hAnsi="宋体" w:cs="宋体"/>
                <w:sz w:val="21"/>
                <w:szCs w:val="21"/>
                <w:lang w:val="en-US" w:eastAsia="zh-CN"/>
              </w:rPr>
              <w:t>80</w:t>
            </w:r>
            <w:r>
              <w:rPr>
                <w:rFonts w:hint="eastAsia" w:ascii="宋体" w:hAnsi="宋体" w:cs="宋体"/>
                <w:sz w:val="21"/>
                <w:szCs w:val="21"/>
              </w:rPr>
              <w:t>平方</w:t>
            </w:r>
            <w:r>
              <w:rPr>
                <w:rFonts w:hint="eastAsia" w:ascii="宋体" w:hAnsi="宋体" w:cs="宋体"/>
                <w:sz w:val="21"/>
                <w:szCs w:val="21"/>
                <w:lang w:eastAsia="zh-CN"/>
              </w:rPr>
              <w:t>米</w:t>
            </w:r>
            <w:r>
              <w:rPr>
                <w:rFonts w:hint="eastAsia" w:ascii="宋体" w:hAnsi="宋体" w:cs="宋体"/>
                <w:sz w:val="21"/>
                <w:szCs w:val="21"/>
              </w:rPr>
              <w:t>左右，主要为</w:t>
            </w:r>
            <w:r>
              <w:rPr>
                <w:rFonts w:hint="eastAsia" w:ascii="宋体" w:hAnsi="宋体" w:cs="宋体"/>
                <w:sz w:val="21"/>
                <w:szCs w:val="21"/>
                <w:lang w:eastAsia="zh-CN"/>
              </w:rPr>
              <w:t>销售</w:t>
            </w:r>
            <w:r>
              <w:rPr>
                <w:rFonts w:hint="eastAsia" w:ascii="宋体" w:hAnsi="宋体" w:cs="宋体"/>
                <w:sz w:val="21"/>
                <w:szCs w:val="21"/>
              </w:rPr>
              <w:t>、</w:t>
            </w:r>
            <w:r>
              <w:rPr>
                <w:rFonts w:hint="eastAsia" w:ascii="宋体" w:hAnsi="宋体" w:cs="宋体"/>
                <w:sz w:val="21"/>
                <w:szCs w:val="21"/>
                <w:lang w:eastAsia="zh-CN"/>
              </w:rPr>
              <w:t>采购</w:t>
            </w:r>
            <w:r>
              <w:rPr>
                <w:rFonts w:hint="eastAsia" w:ascii="宋体" w:hAnsi="宋体" w:cs="宋体"/>
                <w:sz w:val="21"/>
                <w:szCs w:val="21"/>
              </w:rPr>
              <w:t>和行政部门使用。</w:t>
            </w:r>
            <w:r>
              <w:rPr>
                <w:rFonts w:hint="eastAsia" w:ascii="宋体" w:hAnsi="宋体" w:cs="宋体"/>
                <w:sz w:val="21"/>
                <w:szCs w:val="21"/>
                <w:lang w:eastAsia="zh-CN"/>
              </w:rPr>
              <w:t>库房与办公区域分开，库房有</w:t>
            </w:r>
            <w:r>
              <w:rPr>
                <w:rFonts w:hint="eastAsia" w:ascii="宋体" w:hAnsi="宋体" w:cs="宋体"/>
                <w:sz w:val="21"/>
                <w:szCs w:val="21"/>
                <w:lang w:val="en-US" w:eastAsia="zh-CN"/>
              </w:rPr>
              <w:t>60平方左右</w:t>
            </w:r>
            <w:r>
              <w:rPr>
                <w:rFonts w:hint="eastAsia" w:ascii="宋体" w:hAnsi="宋体"/>
                <w:sz w:val="21"/>
                <w:szCs w:val="21"/>
              </w:rPr>
              <w:t>，主要生产设备包括电脑、打印机、复印机、压线钳、电锤、穿管器、人字梯、五金工具等设备，可以满足计算机信息系统集成,社会公共安全设备的销售的需要。对设备按要求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宋体" w:hAnsi="宋体"/>
                <w:sz w:val="21"/>
                <w:szCs w:val="21"/>
              </w:rPr>
              <w:t>作业场所及办公设备布置合理，通道畅通，照明设施齐全，均配备了消防设施等设施。办公室、</w:t>
            </w:r>
            <w:r>
              <w:rPr>
                <w:rFonts w:hint="eastAsia" w:ascii="宋体" w:hAnsi="宋体"/>
                <w:sz w:val="21"/>
                <w:szCs w:val="21"/>
                <w:lang w:eastAsia="zh-CN"/>
              </w:rPr>
              <w:t>作业场所</w:t>
            </w:r>
            <w:r>
              <w:rPr>
                <w:rFonts w:hint="eastAsia" w:ascii="宋体" w:hAnsi="宋体"/>
                <w:sz w:val="21"/>
                <w:szCs w:val="21"/>
              </w:rPr>
              <w:t>明亮，场内光线较充足。每月由</w:t>
            </w:r>
            <w:r>
              <w:rPr>
                <w:rFonts w:hint="eastAsia" w:ascii="宋体" w:hAnsi="宋体"/>
                <w:sz w:val="21"/>
                <w:szCs w:val="21"/>
                <w:lang w:eastAsia="zh-CN"/>
              </w:rPr>
              <w:t>人事行政部</w:t>
            </w:r>
            <w:r>
              <w:rPr>
                <w:rFonts w:hint="eastAsia" w:ascii="宋体" w:hAnsi="宋体"/>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ind w:firstLine="420" w:firstLineChars="200"/>
              <w:rPr>
                <w:rFonts w:ascii="宋体" w:hAnsi="宋体" w:eastAsia="宋体" w:cs="Times New Roman"/>
                <w:b/>
                <w:kern w:val="2"/>
                <w:sz w:val="21"/>
                <w:szCs w:val="21"/>
                <w:lang w:val="en-US" w:eastAsia="zh-CN" w:bidi="ar-SA"/>
              </w:rPr>
            </w:pPr>
            <w:r>
              <w:rPr>
                <w:rFonts w:hint="eastAsia" w:ascii="宋体" w:hAnsi="宋体" w:cs="宋体"/>
                <w:sz w:val="21"/>
                <w:szCs w:val="21"/>
              </w:rPr>
              <w:t>质量部门均按策划的要求配置了相应的检测设备，其中包含</w:t>
            </w:r>
            <w:r>
              <w:rPr>
                <w:rFonts w:hint="eastAsia" w:ascii="宋体" w:hAnsi="宋体"/>
                <w:sz w:val="21"/>
                <w:szCs w:val="21"/>
                <w:lang w:eastAsia="zh-CN"/>
              </w:rPr>
              <w:t>万用表</w:t>
            </w:r>
            <w:r>
              <w:rPr>
                <w:rFonts w:hint="eastAsia" w:ascii="宋体" w:hAnsi="宋体"/>
                <w:sz w:val="21"/>
                <w:szCs w:val="21"/>
              </w:rPr>
              <w:t>、</w:t>
            </w:r>
            <w:r>
              <w:rPr>
                <w:rFonts w:hint="eastAsia" w:ascii="宋体" w:hAnsi="宋体"/>
                <w:sz w:val="21"/>
                <w:szCs w:val="21"/>
                <w:lang w:val="en-US" w:eastAsia="zh-CN"/>
              </w:rPr>
              <w:t>线缆</w:t>
            </w:r>
            <w:r>
              <w:rPr>
                <w:rFonts w:hint="eastAsia" w:ascii="宋体" w:hAnsi="宋体"/>
                <w:color w:val="000000" w:themeColor="text1"/>
                <w:sz w:val="21"/>
                <w:szCs w:val="21"/>
                <w:lang w:val="en-US" w:eastAsia="zh-CN"/>
              </w:rPr>
              <w:t>测试仪</w:t>
            </w:r>
            <w:r>
              <w:rPr>
                <w:rFonts w:hint="eastAsia" w:ascii="宋体" w:hAnsi="宋体"/>
                <w:color w:val="000000" w:themeColor="text1"/>
                <w:sz w:val="21"/>
                <w:szCs w:val="21"/>
              </w:rPr>
              <w:t>等</w:t>
            </w:r>
            <w:r>
              <w:rPr>
                <w:rFonts w:hint="eastAsia" w:ascii="宋体" w:hAnsi="宋体" w:cs="宋体"/>
                <w:color w:val="000000" w:themeColor="text1"/>
                <w:sz w:val="21"/>
                <w:szCs w:val="21"/>
              </w:rPr>
              <w:t>等。查</w:t>
            </w:r>
            <w:r>
              <w:rPr>
                <w:rFonts w:hint="eastAsia" w:ascii="宋体" w:hAnsi="宋体" w:cs="宋体"/>
                <w:color w:val="000000" w:themeColor="text1"/>
                <w:sz w:val="21"/>
                <w:szCs w:val="21"/>
                <w:lang w:eastAsia="zh-CN"/>
              </w:rPr>
              <w:t>研发技术中心</w:t>
            </w:r>
            <w:r>
              <w:rPr>
                <w:rFonts w:hint="eastAsia" w:ascii="宋体" w:hAnsi="宋体" w:cs="宋体"/>
                <w:color w:val="000000" w:themeColor="text1"/>
                <w:sz w:val="21"/>
                <w:szCs w:val="21"/>
              </w:rPr>
              <w:t>按规定，对所有的检测设备进行了规定的检验及校准。采取委外方式进行，不能提供有校准证书。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hint="default"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hint="default"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720" w:type="dxa"/>
            <w:vMerge w:val="restart"/>
            <w:textDirection w:val="tbRlV"/>
            <w:vAlign w:val="center"/>
          </w:tcPr>
          <w:p>
            <w:pPr>
              <w:spacing w:line="240" w:lineRule="exact"/>
              <w:ind w:left="113" w:right="113"/>
              <w:jc w:val="center"/>
              <w:rPr>
                <w:b/>
                <w:sz w:val="21"/>
                <w:szCs w:val="21"/>
              </w:rPr>
            </w:pPr>
            <w:r>
              <w:rPr>
                <w:rFonts w:ascii="宋体" w:hAnsi="宋体"/>
                <w:b/>
                <w:sz w:val="21"/>
                <w:szCs w:val="21"/>
              </w:rPr>
              <w:t>(</w:t>
            </w:r>
            <w:r>
              <w:rPr>
                <w:rFonts w:hint="eastAsia" w:ascii="宋体" w:hAnsi="宋体"/>
                <w:b/>
                <w:sz w:val="21"/>
                <w:szCs w:val="21"/>
              </w:rPr>
              <w:t>三</w:t>
            </w:r>
            <w:r>
              <w:rPr>
                <w:rFonts w:ascii="宋体" w:hAnsi="宋体"/>
                <w:b/>
                <w:sz w:val="21"/>
                <w:szCs w:val="21"/>
              </w:rPr>
              <w:t>)</w:t>
            </w:r>
            <w:r>
              <w:rPr>
                <w:rFonts w:hint="eastAsia" w:ascii="宋体" w:hAnsi="宋体"/>
                <w:b/>
                <w:sz w:val="21"/>
                <w:szCs w:val="21"/>
              </w:rPr>
              <w:t>体系运行情况</w:t>
            </w:r>
          </w:p>
        </w:tc>
        <w:tc>
          <w:tcPr>
            <w:tcW w:w="9198" w:type="dxa"/>
            <w:vAlign w:val="top"/>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leftChars="0"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 xml:space="preserve">                内部沟通的效果：良好</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组织对外联络，关注顾客的感受情况（QMS）：采取顾客满意度调查方式了解顾客感受。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hint="eastAsia" w:ascii="楷体_GB2312" w:eastAsia="楷体_GB2312"/>
                <w:b/>
                <w:color w:val="000000" w:themeColor="text1"/>
                <w:sz w:val="21"/>
                <w:szCs w:val="21"/>
                <w:lang w:val="en-US" w:eastAsia="zh-CN"/>
              </w:rPr>
            </w:pPr>
            <w:r>
              <w:rPr>
                <w:rFonts w:hint="eastAsia" w:ascii="楷体_GB2312" w:eastAsia="楷体_GB2312"/>
                <w:b/>
                <w:color w:val="000000" w:themeColor="text1"/>
                <w:sz w:val="21"/>
                <w:szCs w:val="21"/>
              </w:rPr>
              <w:t>外部信息的接收、成文并答复的情况（E、S填写）：</w:t>
            </w:r>
            <w:r>
              <w:rPr>
                <w:rFonts w:hint="eastAsia" w:ascii="楷体_GB2312" w:eastAsia="楷体_GB2312"/>
                <w:b/>
                <w:color w:val="000000" w:themeColor="text1"/>
                <w:sz w:val="21"/>
                <w:szCs w:val="21"/>
                <w:lang w:val="en-US" w:eastAsia="zh-CN"/>
              </w:rPr>
              <w:t>\</w:t>
            </w:r>
          </w:p>
          <w:p>
            <w:pPr>
              <w:spacing w:line="240" w:lineRule="exact"/>
              <w:rPr>
                <w:rFonts w:hint="eastAsia" w:eastAsia="楷体_GB2312"/>
                <w:sz w:val="21"/>
                <w:szCs w:val="21"/>
                <w:lang w:val="en-US" w:eastAsia="zh-CN"/>
              </w:rPr>
            </w:pPr>
            <w:r>
              <w:rPr>
                <w:rFonts w:hint="eastAsia" w:ascii="楷体_GB2312" w:eastAsia="楷体_GB2312"/>
                <w:b/>
                <w:color w:val="000000" w:themeColor="text1"/>
                <w:sz w:val="21"/>
                <w:szCs w:val="21"/>
              </w:rPr>
              <w:t>重要环境因素信息对外交流情况（EMS填写）：</w:t>
            </w:r>
            <w:r>
              <w:rPr>
                <w:rFonts w:hint="eastAsia" w:eastAsia="楷体_GB2312"/>
                <w:sz w:val="21"/>
                <w:szCs w:val="21"/>
                <w:lang w:val="en-US" w:eastAsia="zh-CN"/>
              </w:rPr>
              <w:t>\</w:t>
            </w:r>
          </w:p>
          <w:p>
            <w:pPr>
              <w:spacing w:line="240" w:lineRule="exact"/>
              <w:rPr>
                <w:rFonts w:hint="eastAsia" w:ascii="楷体_GB2312" w:eastAsia="楷体_GB2312"/>
                <w:b/>
                <w:color w:val="000000" w:themeColor="text1"/>
                <w:sz w:val="21"/>
                <w:szCs w:val="21"/>
                <w:lang w:eastAsia="zh-CN"/>
              </w:rPr>
            </w:pPr>
            <w:r>
              <w:rPr>
                <w:rFonts w:hint="eastAsia" w:ascii="楷体_GB2312" w:eastAsia="楷体_GB2312"/>
                <w:b/>
                <w:color w:val="000000" w:themeColor="text1"/>
                <w:sz w:val="21"/>
                <w:szCs w:val="21"/>
              </w:rPr>
              <w:t>OHSMS事务代表协商和交流的情况（OHSMS填写）：</w:t>
            </w:r>
            <w:r>
              <w:rPr>
                <w:rFonts w:hint="eastAsia" w:ascii="宋体" w:hAnsi="宋体" w:eastAsia="楷体_GB2312" w:cs="Arial"/>
                <w:sz w:val="21"/>
                <w:szCs w:val="21"/>
                <w:lang w:val="en-US" w:eastAsia="zh-CN"/>
              </w:rPr>
              <w:t>\</w:t>
            </w:r>
          </w:p>
          <w:p>
            <w:pPr>
              <w:spacing w:line="240" w:lineRule="exact"/>
              <w:rPr>
                <w:rFonts w:ascii="楷体_GB2312" w:hAnsi="Times New Roman" w:eastAsia="楷体_GB2312" w:cs="Times New Roman"/>
                <w:b/>
                <w:color w:val="000000" w:themeColor="text1"/>
                <w:kern w:val="2"/>
                <w:sz w:val="21"/>
                <w:szCs w:val="21"/>
                <w:lang w:val="en-US" w:eastAsia="zh-CN" w:bidi="ar-SA"/>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206"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制定并实施了产品检验控制规定，规定了公司各管理层次和品质检测部门在各阶段对产品服务质量实施检查与验收的管理要求，产品的验收工作均在</w:t>
            </w:r>
            <w:r>
              <w:rPr>
                <w:rFonts w:hint="eastAsia" w:ascii="宋体" w:hAnsi="宋体" w:cs="宋体"/>
                <w:color w:val="000000"/>
                <w:sz w:val="21"/>
                <w:szCs w:val="21"/>
                <w:lang w:eastAsia="zh-CN"/>
              </w:rPr>
              <w:t>交付</w:t>
            </w:r>
            <w:r>
              <w:rPr>
                <w:rFonts w:hint="eastAsia" w:ascii="宋体" w:hAnsi="宋体" w:cs="宋体"/>
                <w:color w:val="000000"/>
                <w:sz w:val="21"/>
                <w:szCs w:val="21"/>
              </w:rPr>
              <w:t>前予以完成。内容基本具备全面性、系统性及可操作性，范围包括：过程、最终产品。以此保证持续向顾客稳定提供稳定合格的产品。</w:t>
            </w:r>
          </w:p>
          <w:p>
            <w:pPr>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300" w:lineRule="exact"/>
              <w:ind w:firstLine="207" w:firstLineChars="98"/>
              <w:rPr>
                <w:rFonts w:hint="eastAsia"/>
                <w:b/>
                <w:sz w:val="21"/>
                <w:szCs w:val="21"/>
                <w:highlight w:val="none"/>
                <w:lang w:val="en-US" w:eastAsia="zh-CN"/>
              </w:rPr>
            </w:pPr>
            <w:r>
              <w:rPr>
                <w:rFonts w:hint="eastAsia"/>
                <w:b/>
                <w:sz w:val="21"/>
                <w:szCs w:val="21"/>
                <w:highlight w:val="none"/>
                <w:lang w:val="en-US" w:eastAsia="zh-CN"/>
              </w:rPr>
              <w:t>无</w:t>
            </w:r>
          </w:p>
          <w:p>
            <w:pPr>
              <w:spacing w:line="300" w:lineRule="exact"/>
              <w:ind w:firstLine="207" w:firstLineChars="98"/>
              <w:rPr>
                <w:rFonts w:ascii="Times New Roman" w:hAnsi="Times New Roman" w:eastAsia="宋体" w:cs="Times New Roman"/>
                <w:b/>
                <w:color w:val="000000" w:themeColor="text1"/>
                <w:kern w:val="2"/>
                <w:sz w:val="21"/>
                <w:szCs w:val="21"/>
                <w:lang w:val="en-US" w:eastAsia="zh-CN" w:bidi="ar-SA"/>
              </w:rPr>
            </w:pPr>
            <w:r>
              <w:rPr>
                <w:rFonts w:hint="eastAsia"/>
                <w:b/>
                <w:sz w:val="21"/>
                <w:szCs w:val="21"/>
                <w:highlight w:val="none"/>
              </w:rPr>
              <w:t>（附</w:t>
            </w:r>
            <w:r>
              <w:rPr>
                <w:rFonts w:hint="eastAsia"/>
                <w:b/>
                <w:sz w:val="21"/>
                <w:szCs w:val="21"/>
              </w:rPr>
              <w:t>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color w:val="000000" w:themeColor="text1"/>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FF0000"/>
                <w:sz w:val="21"/>
                <w:szCs w:val="21"/>
              </w:rPr>
            </w:pPr>
            <w:r>
              <w:rPr>
                <w:rFonts w:hint="eastAsia"/>
                <w:b/>
                <w:color w:val="000000" w:themeColor="text1"/>
                <w:sz w:val="21"/>
                <w:szCs w:val="21"/>
              </w:rPr>
              <w:t>（EMS对重要环境因素控制，重大环境因素对周边环境产生的影响及控制;对相关方施加</w:t>
            </w:r>
            <w:r>
              <w:rPr>
                <w:rFonts w:hint="eastAsia"/>
                <w:b/>
                <w:bCs w:val="0"/>
                <w:color w:val="auto"/>
                <w:sz w:val="21"/>
                <w:szCs w:val="21"/>
              </w:rPr>
              <w:t>影响）</w:t>
            </w:r>
          </w:p>
          <w:p>
            <w:pPr>
              <w:tabs>
                <w:tab w:val="left" w:pos="2552"/>
              </w:tabs>
              <w:spacing w:line="360" w:lineRule="exact"/>
              <w:ind w:firstLine="315" w:firstLineChars="150"/>
              <w:rPr>
                <w:rFonts w:hint="eastAsia"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asciiTheme="minorEastAsia" w:hAnsiTheme="minorEastAsia" w:eastAsiaTheme="minorEastAsia"/>
                <w:bCs/>
                <w:i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ind w:firstLine="420" w:firstLineChars="200"/>
              <w:rPr>
                <w:rFonts w:hint="eastAsia" w:cs="Times New Roman" w:asciiTheme="minorEastAsia" w:hAnsiTheme="minorEastAsia" w:eastAsiaTheme="minorEastAsia"/>
                <w:b/>
                <w:color w:val="000000" w:themeColor="text1"/>
                <w:spacing w:val="-4"/>
                <w:kern w:val="2"/>
                <w:sz w:val="21"/>
                <w:szCs w:val="21"/>
                <w:lang w:val="en-US" w:eastAsia="zh-CN" w:bidi="ar-SA"/>
              </w:rPr>
            </w:pPr>
            <w:r>
              <w:rPr>
                <w:rFonts w:hint="eastAsia" w:asciiTheme="minorEastAsia" w:hAnsiTheme="minorEastAsia" w:eastAsiaTheme="minorEastAsia"/>
                <w:bCs/>
                <w:i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sz w:val="21"/>
                <w:szCs w:val="21"/>
              </w:rPr>
            </w:pPr>
            <w:r>
              <w:rPr>
                <w:rFonts w:hint="eastAsia"/>
                <w:b/>
                <w:sz w:val="21"/>
                <w:szCs w:val="21"/>
              </w:rPr>
              <w:t>10. 对特种设备的维护; （适用时）</w:t>
            </w:r>
          </w:p>
          <w:p>
            <w:pPr>
              <w:spacing w:line="240" w:lineRule="exact"/>
              <w:rPr>
                <w:rFonts w:ascii="Times New Roman" w:hAnsi="Times New Roman" w:eastAsia="宋体" w:cs="Times New Roman"/>
                <w:b/>
                <w:kern w:val="2"/>
                <w:sz w:val="21"/>
                <w:szCs w:val="21"/>
                <w:lang w:val="en-US" w:eastAsia="zh-CN" w:bidi="ar-SA"/>
              </w:rPr>
            </w:pPr>
            <w:r>
              <w:rPr>
                <w:rFonts w:hint="eastAsia"/>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sz w:val="21"/>
                <w:szCs w:val="21"/>
              </w:rPr>
            </w:pPr>
            <w:r>
              <w:rPr>
                <w:rFonts w:hint="eastAsia"/>
                <w:b/>
                <w:sz w:val="21"/>
                <w:szCs w:val="21"/>
              </w:rPr>
              <w:t>11 .对危险化学品销售、使用、储存、运输处置，规定的执行力度(必要时); （适用时）</w:t>
            </w:r>
          </w:p>
          <w:p>
            <w:pPr>
              <w:spacing w:line="240" w:lineRule="exact"/>
              <w:rPr>
                <w:rFonts w:ascii="Times New Roman" w:hAnsi="Times New Roman" w:eastAsia="宋体" w:cs="Times New Roman"/>
                <w:kern w:val="2"/>
                <w:sz w:val="21"/>
                <w:szCs w:val="21"/>
                <w:lang w:val="en-US" w:eastAsia="zh-CN" w:bidi="ar-SA"/>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 w:val="21"/>
                <w:szCs w:val="21"/>
              </w:rPr>
            </w:pPr>
            <w:r>
              <w:rPr>
                <w:rFonts w:ascii="宋体" w:hAnsi="宋体"/>
                <w:b/>
                <w:sz w:val="21"/>
                <w:szCs w:val="21"/>
              </w:rPr>
              <w:t>(</w:t>
            </w:r>
            <w:r>
              <w:rPr>
                <w:rFonts w:hint="eastAsia" w:ascii="宋体" w:hAnsi="宋体"/>
                <w:b/>
                <w:sz w:val="21"/>
                <w:szCs w:val="21"/>
              </w:rPr>
              <w:t>四</w:t>
            </w:r>
            <w:r>
              <w:rPr>
                <w:rFonts w:ascii="宋体" w:hAnsi="宋体"/>
                <w:b/>
                <w:sz w:val="21"/>
                <w:szCs w:val="21"/>
              </w:rPr>
              <w:t>)</w:t>
            </w:r>
            <w:r>
              <w:rPr>
                <w:rFonts w:hint="eastAsia" w:ascii="宋体" w:hAnsi="宋体"/>
                <w:b/>
                <w:sz w:val="21"/>
                <w:szCs w:val="21"/>
              </w:rPr>
              <w:t>监视测量方面</w:t>
            </w:r>
          </w:p>
        </w:tc>
        <w:tc>
          <w:tcPr>
            <w:tcW w:w="9198" w:type="dxa"/>
            <w:vAlign w:val="top"/>
          </w:tcPr>
          <w:p>
            <w:pPr>
              <w:spacing w:line="240" w:lineRule="exact"/>
              <w:ind w:left="100" w:hanging="105" w:hangingChars="50"/>
              <w:rPr>
                <w:b/>
                <w:sz w:val="21"/>
                <w:szCs w:val="21"/>
              </w:rPr>
            </w:pPr>
            <w:r>
              <w:rPr>
                <w:rFonts w:hint="eastAsia"/>
                <w:b/>
                <w:sz w:val="21"/>
                <w:szCs w:val="21"/>
              </w:rPr>
              <w:t>1. .对质量/环境/职业健康安全目标指标进行定期监测/检查情况（适用时）</w:t>
            </w:r>
          </w:p>
          <w:p>
            <w:pPr>
              <w:spacing w:line="240" w:lineRule="exact"/>
              <w:ind w:firstLine="525" w:firstLineChars="250"/>
              <w:rPr>
                <w:rFonts w:ascii="Times New Roman" w:hAnsi="Times New Roman" w:eastAsia="宋体" w:cs="Times New Roman"/>
                <w:b/>
                <w:kern w:val="2"/>
                <w:sz w:val="21"/>
                <w:szCs w:val="21"/>
                <w:lang w:val="en-US" w:eastAsia="zh-CN" w:bidi="ar-SA"/>
              </w:rPr>
            </w:pPr>
            <w:r>
              <w:rPr>
                <w:rFonts w:hint="eastAsia" w:ascii="宋体" w:hAnsi="宋体" w:cs="宋体"/>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w:t>
            </w:r>
            <w:r>
              <w:rPr>
                <w:rFonts w:hint="eastAsia" w:ascii="宋体" w:hAnsi="宋体" w:cs="宋体"/>
                <w:sz w:val="21"/>
                <w:szCs w:val="21"/>
                <w:highlight w:val="none"/>
              </w:rPr>
              <w:t>体已达到或超过了规定的目标值。通过</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年1月</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月目标</w:t>
            </w:r>
            <w:r>
              <w:rPr>
                <w:rFonts w:hint="eastAsia" w:ascii="宋体" w:hAnsi="宋体" w:cs="宋体"/>
                <w:sz w:val="21"/>
                <w:szCs w:val="21"/>
                <w:highlight w:val="none"/>
              </w:rPr>
              <w:t>的测量，总体已达到或超过</w:t>
            </w:r>
            <w:r>
              <w:rPr>
                <w:rFonts w:hint="eastAsia" w:ascii="宋体" w:hAnsi="宋体" w:cs="宋体"/>
                <w:sz w:val="21"/>
                <w:szCs w:val="21"/>
              </w:rPr>
              <w:t>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ind w:left="100" w:hanging="105" w:hangingChars="50"/>
              <w:rPr>
                <w:b/>
                <w:color w:val="000000" w:themeColor="text1"/>
                <w:sz w:val="21"/>
                <w:szCs w:val="21"/>
                <w:highlight w:val="none"/>
              </w:rPr>
            </w:pPr>
            <w:r>
              <w:rPr>
                <w:rFonts w:hint="eastAsia"/>
                <w:b/>
                <w:color w:val="000000" w:themeColor="text1"/>
                <w:sz w:val="21"/>
                <w:szCs w:val="21"/>
                <w:highlight w:val="none"/>
              </w:rPr>
              <w:t>2.顾客满意</w:t>
            </w:r>
          </w:p>
          <w:p>
            <w:pPr>
              <w:spacing w:line="240" w:lineRule="exact"/>
              <w:ind w:left="120" w:leftChars="50" w:firstLine="315" w:firstLineChars="150"/>
              <w:rPr>
                <w:rFonts w:ascii="Times New Roman" w:hAnsi="Times New Roman" w:eastAsia="宋体" w:cs="Times New Roman"/>
                <w:b/>
                <w:color w:val="000000" w:themeColor="text1"/>
                <w:kern w:val="2"/>
                <w:sz w:val="21"/>
                <w:szCs w:val="21"/>
                <w:highlight w:val="none"/>
                <w:lang w:val="en-US" w:eastAsia="zh-CN" w:bidi="ar-SA"/>
              </w:rPr>
            </w:pPr>
            <w:r>
              <w:rPr>
                <w:rFonts w:hint="eastAsia" w:ascii="宋体" w:hAnsi="宋体" w:cs="宋体"/>
                <w:color w:val="000000"/>
                <w:sz w:val="21"/>
                <w:szCs w:val="21"/>
                <w:highlight w:val="none"/>
              </w:rPr>
              <w:t>公司建立了顾客满意度监视和测量控制程序，对顾</w:t>
            </w:r>
            <w:r>
              <w:rPr>
                <w:rFonts w:hint="eastAsia" w:ascii="宋体" w:hAnsi="宋体" w:cs="宋体"/>
                <w:sz w:val="21"/>
                <w:szCs w:val="21"/>
                <w:highlight w:val="none"/>
              </w:rPr>
              <w:t>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月实施，满意度评价9</w:t>
            </w:r>
            <w:r>
              <w:rPr>
                <w:rFonts w:hint="eastAsia" w:ascii="宋体" w:hAnsi="宋体" w:cs="宋体"/>
                <w:sz w:val="21"/>
                <w:szCs w:val="21"/>
                <w:highlight w:val="none"/>
                <w:lang w:val="en-US" w:eastAsia="zh-CN"/>
              </w:rPr>
              <w:t>6%</w:t>
            </w:r>
            <w:r>
              <w:rPr>
                <w:rFonts w:hint="eastAsia" w:ascii="宋体" w:hAnsi="宋体" w:cs="宋体"/>
                <w:sz w:val="21"/>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highlight w:val="none"/>
              </w:rPr>
              <w:t>3. 内审（包括内审策划审核方案中考虑拟审核的过程和区域的状况和重要性）</w:t>
            </w:r>
          </w:p>
          <w:p>
            <w:pPr>
              <w:spacing w:line="240" w:lineRule="exact"/>
              <w:ind w:firstLine="420" w:firstLineChars="200"/>
              <w:rPr>
                <w:rFonts w:ascii="Times New Roman" w:hAnsi="Times New Roman" w:eastAsia="宋体" w:cs="Times New Roman"/>
                <w:b/>
                <w:color w:val="FF0000"/>
                <w:kern w:val="2"/>
                <w:sz w:val="21"/>
                <w:szCs w:val="21"/>
                <w:highlight w:val="none"/>
                <w:lang w:val="en-US" w:eastAsia="zh-CN" w:bidi="ar-SA"/>
              </w:rPr>
            </w:pPr>
            <w:r>
              <w:rPr>
                <w:rFonts w:hint="eastAsia" w:ascii="宋体" w:hAnsi="宋体"/>
                <w:sz w:val="21"/>
                <w:szCs w:val="21"/>
                <w:highlight w:val="none"/>
              </w:rPr>
              <w:t>建立有《内部审核</w:t>
            </w:r>
            <w:r>
              <w:rPr>
                <w:rFonts w:hint="eastAsia" w:ascii="宋体" w:hAnsi="宋体"/>
                <w:sz w:val="21"/>
                <w:szCs w:val="21"/>
                <w:highlight w:val="none"/>
              </w:rPr>
              <w:t>控制程序》，规定了内审频次一年一次，内审时间：20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r>
              <w:rPr>
                <w:rFonts w:hint="eastAsia" w:ascii="宋体" w:hAnsi="宋体"/>
                <w:sz w:val="21"/>
                <w:szCs w:val="21"/>
                <w:highlight w:val="none"/>
                <w:lang w:val="en-US" w:eastAsia="zh-CN"/>
              </w:rPr>
              <w:t>8</w:t>
            </w:r>
            <w:r>
              <w:rPr>
                <w:rFonts w:hint="eastAsia" w:ascii="宋体" w:hAnsi="宋体"/>
                <w:sz w:val="21"/>
                <w:szCs w:val="21"/>
                <w:highlight w:val="none"/>
              </w:rPr>
              <w:t>日，拟定了审核实施表，明</w:t>
            </w:r>
            <w:r>
              <w:rPr>
                <w:rFonts w:hint="eastAsia" w:ascii="宋体" w:hAnsi="宋体" w:cs="Times New Roman"/>
                <w:sz w:val="21"/>
                <w:szCs w:val="21"/>
                <w:highlight w:val="none"/>
              </w:rPr>
              <w:t>确了内审范围，内审人员经培训合格上岗，能力满足要求，未出现审核本部门情况，内审不符合项</w:t>
            </w:r>
            <w:r>
              <w:rPr>
                <w:rFonts w:hint="eastAsia" w:ascii="宋体" w:hAnsi="宋体" w:cs="Times New Roman"/>
                <w:sz w:val="21"/>
                <w:szCs w:val="21"/>
                <w:highlight w:val="none"/>
                <w:lang w:val="en-US" w:eastAsia="zh-CN"/>
              </w:rPr>
              <w:t>1</w:t>
            </w:r>
            <w:r>
              <w:rPr>
                <w:rFonts w:hint="eastAsia" w:ascii="宋体" w:hAnsi="宋体" w:cs="Times New Roman"/>
                <w:sz w:val="21"/>
                <w:szCs w:val="21"/>
                <w:highlight w:val="none"/>
              </w:rPr>
              <w:t>项，涉及</w:t>
            </w:r>
            <w:r>
              <w:rPr>
                <w:rFonts w:hint="eastAsia" w:ascii="宋体" w:hAnsi="宋体" w:cs="Times New Roman"/>
                <w:sz w:val="21"/>
                <w:szCs w:val="21"/>
                <w:highlight w:val="none"/>
                <w:lang w:eastAsia="zh-CN"/>
              </w:rPr>
              <w:t>人事行政部</w:t>
            </w:r>
            <w:r>
              <w:rPr>
                <w:rFonts w:hint="eastAsia" w:ascii="宋体" w:hAnsi="宋体" w:cs="Times New Roman"/>
                <w:sz w:val="21"/>
                <w:szCs w:val="21"/>
                <w:highlight w:val="none"/>
                <w:lang w:val="en-US" w:eastAsia="zh-CN"/>
              </w:rPr>
              <w:t>7.2</w:t>
            </w:r>
            <w:r>
              <w:rPr>
                <w:rFonts w:hint="eastAsia" w:ascii="宋体" w:hAnsi="宋体" w:cs="Times New Roman"/>
                <w:sz w:val="21"/>
                <w:szCs w:val="21"/>
                <w:highlight w:val="none"/>
              </w:rPr>
              <w:t>条款，</w:t>
            </w:r>
            <w:r>
              <w:rPr>
                <w:rFonts w:hint="eastAsia" w:ascii="宋体" w:hAnsi="宋体" w:cs="Times New Roman"/>
                <w:sz w:val="21"/>
                <w:szCs w:val="21"/>
                <w:highlight w:val="none"/>
                <w:lang w:eastAsia="zh-CN"/>
              </w:rPr>
              <w:t>现场查看发现</w:t>
            </w:r>
            <w:r>
              <w:rPr>
                <w:rFonts w:hint="eastAsia" w:ascii="宋体" w:hAnsi="宋体" w:cs="Times New Roman"/>
                <w:sz w:val="21"/>
                <w:szCs w:val="21"/>
                <w:highlight w:val="none"/>
              </w:rPr>
              <w:t>《计算机软件工程规范国家标准汇编》</w:t>
            </w:r>
            <w:r>
              <w:rPr>
                <w:rFonts w:hint="eastAsia" w:ascii="宋体" w:hAnsi="宋体" w:cs="Times New Roman"/>
                <w:sz w:val="21"/>
                <w:szCs w:val="21"/>
                <w:highlight w:val="none"/>
                <w:lang w:eastAsia="zh-CN"/>
              </w:rPr>
              <w:t>培训时相关负责人未对培训效果进行评价</w:t>
            </w:r>
            <w:r>
              <w:rPr>
                <w:rFonts w:hint="eastAsia" w:ascii="宋体" w:hAnsi="宋体" w:cs="Times New Roman"/>
                <w:sz w:val="21"/>
                <w:szCs w:val="21"/>
                <w:highlight w:val="none"/>
              </w:rPr>
              <w:t>。针对以上不符合项，已及时采取纠正措施后，经内审员验证关闭。内审的有效性需要改善。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720" w:type="dxa"/>
            <w:vMerge w:val="continue"/>
            <w:textDirection w:val="tbRlV"/>
            <w:vAlign w:val="center"/>
          </w:tcPr>
          <w:p>
            <w:pPr>
              <w:spacing w:line="240" w:lineRule="exact"/>
              <w:ind w:left="113" w:right="113"/>
              <w:jc w:val="center"/>
              <w:rPr>
                <w:b/>
                <w:sz w:val="21"/>
                <w:szCs w:val="21"/>
              </w:rPr>
            </w:pPr>
          </w:p>
        </w:tc>
        <w:tc>
          <w:tcPr>
            <w:tcW w:w="9198" w:type="dxa"/>
            <w:vAlign w:val="top"/>
          </w:tcPr>
          <w:p>
            <w:pPr>
              <w:spacing w:line="240" w:lineRule="exact"/>
              <w:rPr>
                <w:b/>
                <w:color w:val="000000" w:themeColor="text1"/>
                <w:sz w:val="21"/>
                <w:szCs w:val="21"/>
                <w:highlight w:val="none"/>
              </w:rPr>
            </w:pPr>
            <w:r>
              <w:rPr>
                <w:rFonts w:hint="eastAsia"/>
                <w:b/>
                <w:color w:val="000000" w:themeColor="text1"/>
                <w:sz w:val="21"/>
                <w:szCs w:val="21"/>
              </w:rPr>
              <w:t>4.管理评审（管理评审体系变更需求，纠正和</w:t>
            </w:r>
            <w:r>
              <w:rPr>
                <w:rFonts w:hint="eastAsia"/>
                <w:b/>
                <w:color w:val="000000" w:themeColor="text1"/>
                <w:sz w:val="21"/>
                <w:szCs w:val="21"/>
                <w:highlight w:val="none"/>
              </w:rPr>
              <w:t>预防措施、体系有效性等）</w:t>
            </w:r>
          </w:p>
          <w:p>
            <w:pPr>
              <w:spacing w:line="240" w:lineRule="exact"/>
              <w:ind w:firstLine="420" w:firstLineChars="200"/>
              <w:rPr>
                <w:rFonts w:ascii="Times New Roman" w:hAnsi="Times New Roman" w:eastAsia="宋体" w:cs="Times New Roman"/>
                <w:b/>
                <w:color w:val="000000" w:themeColor="text1"/>
                <w:kern w:val="2"/>
                <w:sz w:val="21"/>
                <w:szCs w:val="21"/>
                <w:lang w:val="en-US" w:eastAsia="zh-CN" w:bidi="ar-SA"/>
              </w:rPr>
            </w:pPr>
            <w:r>
              <w:rPr>
                <w:rFonts w:hint="eastAsia" w:ascii="宋体" w:hAnsi="宋体" w:cs="宋体"/>
                <w:sz w:val="21"/>
                <w:szCs w:val="21"/>
                <w:highlight w:val="none"/>
              </w:rPr>
              <w:t>管理评审频次为一年一次、本次管理评审于</w:t>
            </w:r>
            <w:r>
              <w:rPr>
                <w:rFonts w:hint="eastAsia" w:ascii="宋体" w:hAnsi="宋体"/>
                <w:sz w:val="21"/>
                <w:szCs w:val="21"/>
                <w:highlight w:val="none"/>
              </w:rPr>
              <w:t>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月2</w:t>
            </w:r>
            <w:r>
              <w:rPr>
                <w:rFonts w:hint="eastAsia" w:ascii="宋体" w:hAnsi="宋体"/>
                <w:sz w:val="21"/>
                <w:szCs w:val="21"/>
                <w:highlight w:val="none"/>
                <w:lang w:val="en-US" w:eastAsia="zh-CN"/>
              </w:rPr>
              <w:t>0</w:t>
            </w:r>
            <w:r>
              <w:rPr>
                <w:rFonts w:hint="eastAsia" w:ascii="宋体" w:hAnsi="宋体"/>
                <w:sz w:val="21"/>
                <w:szCs w:val="21"/>
                <w:highlight w:val="none"/>
              </w:rPr>
              <w:t>日</w:t>
            </w:r>
            <w:r>
              <w:rPr>
                <w:rFonts w:hint="eastAsia" w:ascii="宋体" w:hAnsi="宋体" w:cs="宋体"/>
                <w:sz w:val="21"/>
                <w:szCs w:val="21"/>
                <w:highlight w:val="none"/>
              </w:rPr>
              <w:t>由总经理主持完成、提供主要输入材料有各部门总结，输入信息基本充分和满足要求。输出见“管理评审报告”</w:t>
            </w:r>
            <w:r>
              <w:rPr>
                <w:rFonts w:hint="eastAsia" w:ascii="宋体" w:hAnsi="宋体" w:cs="宋体"/>
                <w:sz w:val="21"/>
                <w:szCs w:val="21"/>
              </w:rPr>
              <w:t>,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rFonts w:hint="eastAsia"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1"/>
                <w:szCs w:val="21"/>
              </w:rPr>
            </w:pPr>
          </w:p>
        </w:tc>
        <w:tc>
          <w:tcPr>
            <w:tcW w:w="9198" w:type="dxa"/>
            <w:vAlign w:val="top"/>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rFonts w:ascii="Times New Roman" w:hAnsi="Times New Roman" w:eastAsia="宋体" w:cs="Times New Roman"/>
                <w:b/>
                <w:color w:val="000000" w:themeColor="text1"/>
                <w:kern w:val="2"/>
                <w:sz w:val="21"/>
                <w:szCs w:val="21"/>
                <w:lang w:val="en-US" w:eastAsia="zh-CN" w:bidi="ar-SA"/>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 w:val="21"/>
                <w:szCs w:val="21"/>
              </w:rPr>
            </w:pPr>
            <w:r>
              <w:rPr>
                <w:rFonts w:hint="eastAsia" w:ascii="宋体" w:hAnsi="宋体"/>
                <w:b/>
                <w:sz w:val="21"/>
                <w:szCs w:val="21"/>
              </w:rPr>
              <w:t>(五)持</w:t>
            </w:r>
          </w:p>
          <w:p>
            <w:pPr>
              <w:spacing w:line="240" w:lineRule="exact"/>
              <w:ind w:left="113" w:right="113"/>
              <w:jc w:val="center"/>
              <w:rPr>
                <w:rFonts w:ascii="宋体" w:hAnsi="宋体"/>
                <w:b/>
                <w:sz w:val="21"/>
                <w:szCs w:val="21"/>
              </w:rPr>
            </w:pPr>
            <w:r>
              <w:rPr>
                <w:rFonts w:hint="eastAsia" w:ascii="宋体" w:hAnsi="宋体"/>
                <w:b/>
                <w:sz w:val="21"/>
                <w:szCs w:val="21"/>
              </w:rPr>
              <w:t>续</w:t>
            </w:r>
          </w:p>
          <w:p>
            <w:pPr>
              <w:spacing w:line="240" w:lineRule="exact"/>
              <w:ind w:left="113" w:right="113"/>
              <w:jc w:val="center"/>
              <w:rPr>
                <w:rFonts w:ascii="宋体" w:hAnsi="宋体"/>
                <w:b/>
                <w:sz w:val="21"/>
                <w:szCs w:val="21"/>
              </w:rPr>
            </w:pPr>
            <w:r>
              <w:rPr>
                <w:rFonts w:hint="eastAsia" w:ascii="宋体" w:hAnsi="宋体"/>
                <w:b/>
                <w:sz w:val="21"/>
                <w:szCs w:val="21"/>
              </w:rPr>
              <w:t>改</w:t>
            </w:r>
          </w:p>
          <w:p>
            <w:pPr>
              <w:spacing w:line="240" w:lineRule="exact"/>
              <w:ind w:left="113" w:right="113"/>
              <w:jc w:val="center"/>
              <w:rPr>
                <w:b/>
                <w:sz w:val="21"/>
                <w:szCs w:val="21"/>
              </w:rPr>
            </w:pPr>
            <w:r>
              <w:rPr>
                <w:rFonts w:hint="eastAsia" w:ascii="宋体" w:hAnsi="宋体"/>
                <w:b/>
                <w:sz w:val="21"/>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b/>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720" w:type="dxa"/>
            <w:vMerge w:val="continue"/>
            <w:vAlign w:val="center"/>
          </w:tcPr>
          <w:p>
            <w:pPr>
              <w:spacing w:line="240" w:lineRule="exact"/>
              <w:jc w:val="center"/>
              <w:rPr>
                <w:b/>
                <w:sz w:val="21"/>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2"/>
              </w:numPr>
              <w:spacing w:line="240" w:lineRule="exact"/>
              <w:rPr>
                <w:rFonts w:hint="eastAsia"/>
                <w:sz w:val="21"/>
                <w:szCs w:val="21"/>
              </w:rPr>
            </w:pPr>
            <w:r>
              <w:rPr>
                <w:rFonts w:hint="eastAsia"/>
                <w:sz w:val="21"/>
                <w:szCs w:val="21"/>
              </w:rPr>
              <w:t>创新情况</w:t>
            </w:r>
          </w:p>
          <w:p>
            <w:pPr>
              <w:pStyle w:val="2"/>
              <w:numPr>
                <w:ilvl w:val="0"/>
                <w:numId w:val="0"/>
              </w:numPr>
              <w:rPr>
                <w:rFonts w:hint="eastAsia" w:eastAsia="宋体"/>
                <w:sz w:val="21"/>
                <w:szCs w:val="21"/>
                <w:lang w:val="en-US" w:eastAsia="zh-CN"/>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1"/>
                <w:szCs w:val="21"/>
              </w:rPr>
            </w:pPr>
          </w:p>
        </w:tc>
        <w:tc>
          <w:tcPr>
            <w:tcW w:w="9198" w:type="dxa"/>
          </w:tcPr>
          <w:p>
            <w:pPr>
              <w:numPr>
                <w:ilvl w:val="0"/>
                <w:numId w:val="3"/>
              </w:numPr>
              <w:spacing w:line="240" w:lineRule="exact"/>
              <w:rPr>
                <w:rFonts w:hint="eastAsia" w:ascii="宋体" w:hAnsi="宋体"/>
                <w:b/>
                <w:sz w:val="21"/>
                <w:szCs w:val="21"/>
              </w:rPr>
            </w:pPr>
            <w:r>
              <w:rPr>
                <w:rFonts w:hint="eastAsia" w:ascii="宋体" w:hAnsi="宋体"/>
                <w:b/>
                <w:sz w:val="21"/>
                <w:szCs w:val="21"/>
              </w:rPr>
              <w:t>上次不符合的整改情况</w:t>
            </w:r>
          </w:p>
          <w:p>
            <w:pPr>
              <w:rPr>
                <w:rFonts w:hint="eastAsia" w:ascii="宋体" w:hAnsi="宋体"/>
                <w:b/>
                <w:sz w:val="21"/>
                <w:szCs w:val="21"/>
              </w:rPr>
            </w:pPr>
            <w:r>
              <w:rPr>
                <w:rFonts w:hint="eastAsia" w:ascii="Times New Roman" w:hAnsi="Times New Roman" w:eastAsia="宋体" w:cs="Times New Roman"/>
                <w:color w:val="auto"/>
                <w:kern w:val="2"/>
                <w:sz w:val="21"/>
                <w:szCs w:val="21"/>
                <w:highlight w:val="none"/>
                <w:lang w:val="en-US" w:eastAsia="zh-CN" w:bidi="ar-SA"/>
              </w:rPr>
              <w:t>上次不符合为</w:t>
            </w:r>
            <w:r>
              <w:rPr>
                <w:rFonts w:hint="eastAsia" w:ascii="Times New Roman" w:hAnsi="Times New Roman" w:cs="Times New Roman"/>
                <w:color w:val="auto"/>
                <w:kern w:val="2"/>
                <w:sz w:val="21"/>
                <w:szCs w:val="21"/>
                <w:highlight w:val="none"/>
                <w:lang w:val="en-US" w:eastAsia="zh-CN" w:bidi="ar-SA"/>
              </w:rPr>
              <w:t>研发技术中心7.1.5</w:t>
            </w:r>
            <w:r>
              <w:rPr>
                <w:rFonts w:hint="eastAsia" w:ascii="Times New Roman" w:hAnsi="Times New Roman" w:eastAsia="宋体" w:cs="Times New Roman"/>
                <w:color w:val="auto"/>
                <w:kern w:val="2"/>
                <w:sz w:val="21"/>
                <w:szCs w:val="21"/>
                <w:highlight w:val="none"/>
                <w:lang w:val="en-US" w:eastAsia="zh-CN" w:bidi="ar-SA"/>
              </w:rPr>
              <w:t>条款，经本次审核验证均整改且无类似不符合情况出现。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rPr>
        <w:sym w:font="Wingdings 2" w:char="0052"/>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color w:val="auto"/>
          <w:sz w:val="16"/>
          <w:szCs w:val="16"/>
        </w:rPr>
      </w:pPr>
      <w:r>
        <w:rPr>
          <w:rFonts w:hint="eastAsia"/>
          <w:b/>
          <w:sz w:val="26"/>
          <w:szCs w:val="26"/>
        </w:rPr>
        <w:t>八、本次审核不符合项</w:t>
      </w:r>
    </w:p>
    <w:p>
      <w:pPr>
        <w:spacing w:line="400" w:lineRule="exact"/>
        <w:ind w:left="420" w:leftChars="175" w:firstLine="101" w:firstLineChars="42"/>
        <w:rPr>
          <w:rFonts w:ascii="宋体" w:hAnsi="宋体"/>
          <w:b/>
          <w:color w:val="auto"/>
          <w:szCs w:val="21"/>
        </w:rPr>
      </w:pPr>
      <w:r>
        <w:rPr>
          <w:rFonts w:hint="eastAsia" w:ascii="宋体" w:hAnsi="宋体"/>
          <w:b/>
          <w:color w:val="auto"/>
          <w:szCs w:val="21"/>
        </w:rPr>
        <w:t>本次审核共开具不符合项报告项；其中</w:t>
      </w:r>
      <w:r>
        <w:rPr>
          <w:rFonts w:ascii="宋体" w:hAnsi="宋体"/>
          <w:b/>
          <w:color w:val="auto"/>
          <w:szCs w:val="21"/>
        </w:rPr>
        <w:pict>
          <v:line id="直接连接符 1" o:spid="_x0000_s2053"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color w:val="auto"/>
          <w:szCs w:val="21"/>
        </w:rPr>
        <w:t>严重不符合</w:t>
      </w:r>
      <w:r>
        <w:rPr>
          <w:rFonts w:hint="eastAsia" w:ascii="宋体" w:hAnsi="宋体"/>
          <w:b/>
          <w:color w:val="auto"/>
          <w:szCs w:val="21"/>
          <w:u w:val="single"/>
          <w:lang w:val="en-US" w:eastAsia="zh-CN"/>
        </w:rPr>
        <w:t>0</w:t>
      </w:r>
      <w:r>
        <w:rPr>
          <w:rFonts w:hint="eastAsia" w:ascii="宋体" w:hAnsi="宋体"/>
          <w:b/>
          <w:color w:val="auto"/>
          <w:szCs w:val="21"/>
        </w:rPr>
        <w:t>项，一般不符合</w:t>
      </w:r>
      <w:r>
        <w:rPr>
          <w:rFonts w:hint="eastAsia" w:ascii="宋体" w:hAnsi="宋体"/>
          <w:b/>
          <w:color w:val="auto"/>
          <w:szCs w:val="21"/>
          <w:u w:val="single"/>
          <w:lang w:val="en-US" w:eastAsia="zh-CN"/>
        </w:rPr>
        <w:t>1</w:t>
      </w:r>
      <w:r>
        <w:rPr>
          <w:rFonts w:hint="eastAsia" w:ascii="宋体" w:hAnsi="宋体"/>
          <w:b/>
          <w:color w:val="auto"/>
          <w:szCs w:val="21"/>
        </w:rPr>
        <w:t>项，观察项</w:t>
      </w:r>
      <w:r>
        <w:rPr>
          <w:rFonts w:hint="eastAsia" w:ascii="宋体" w:hAnsi="宋体"/>
          <w:b/>
          <w:color w:val="auto"/>
          <w:szCs w:val="21"/>
          <w:u w:val="single"/>
          <w:lang w:val="en-US" w:eastAsia="zh-CN"/>
        </w:rPr>
        <w:t>0</w:t>
      </w:r>
      <w:r>
        <w:rPr>
          <w:rFonts w:hint="eastAsia" w:ascii="宋体" w:hAnsi="宋体"/>
          <w:b/>
          <w:color w:val="auto"/>
          <w:szCs w:val="21"/>
        </w:rPr>
        <w:t>项分布在</w:t>
      </w:r>
      <w:r>
        <w:rPr>
          <w:rFonts w:hint="eastAsia" w:ascii="宋体" w:hAnsi="宋体"/>
          <w:b/>
          <w:color w:val="auto"/>
          <w:szCs w:val="21"/>
          <w:u w:val="single"/>
          <w:lang w:val="en-US" w:eastAsia="zh-CN"/>
        </w:rPr>
        <w:t>销售部</w:t>
      </w:r>
      <w:r>
        <w:rPr>
          <w:rFonts w:hint="eastAsia" w:ascii="宋体" w:hAnsi="宋体"/>
          <w:b/>
          <w:color w:val="auto"/>
          <w:szCs w:val="21"/>
        </w:rPr>
        <w:t>部门</w:t>
      </w:r>
      <w:r>
        <w:rPr>
          <w:rFonts w:hint="eastAsia" w:ascii="宋体" w:hAnsi="宋体"/>
          <w:b/>
          <w:color w:val="auto"/>
          <w:szCs w:val="21"/>
          <w:u w:val="single"/>
          <w:lang w:val="en-US" w:eastAsia="zh-CN"/>
        </w:rPr>
        <w:t>8.5.1</w:t>
      </w:r>
      <w:r>
        <w:rPr>
          <w:rFonts w:hint="eastAsia" w:ascii="宋体" w:hAnsi="宋体"/>
          <w:b/>
          <w:color w:val="auto"/>
          <w:szCs w:val="21"/>
        </w:rPr>
        <w:t>条款，见不符合项分布表。（</w:t>
      </w:r>
      <w:r>
        <w:rPr>
          <w:rFonts w:ascii="宋体" w:hAnsi="宋体"/>
          <w:b/>
          <w:color w:val="auto"/>
          <w:szCs w:val="21"/>
        </w:rPr>
        <w:t>Q/J/E/S</w:t>
      </w:r>
      <w:r>
        <w:rPr>
          <w:rFonts w:hint="eastAsia" w:ascii="宋体" w:hAnsi="宋体"/>
          <w:b/>
          <w:color w:val="auto"/>
          <w:szCs w:val="21"/>
        </w:rPr>
        <w:t>分开填写）</w:t>
      </w:r>
    </w:p>
    <w:p>
      <w:pPr>
        <w:tabs>
          <w:tab w:val="left" w:pos="645"/>
        </w:tabs>
        <w:spacing w:after="163" w:afterLines="50" w:line="360" w:lineRule="exact"/>
        <w:rPr>
          <w:b/>
          <w:sz w:val="16"/>
          <w:szCs w:val="16"/>
        </w:rPr>
      </w:pPr>
      <w:r>
        <w:rPr>
          <w:rFonts w:hint="eastAsia"/>
          <w:b/>
          <w:sz w:val="26"/>
          <w:szCs w:val="26"/>
        </w:rPr>
        <w:t>九、审核结论</w:t>
      </w:r>
      <w:bookmarkStart w:id="30" w:name="_GoBack"/>
      <w:bookmarkEnd w:id="30"/>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1830705</wp:posOffset>
            </wp:positionH>
            <wp:positionV relativeFrom="paragraph">
              <wp:posOffset>218440</wp:posOffset>
            </wp:positionV>
            <wp:extent cx="450215" cy="340995"/>
            <wp:effectExtent l="0" t="0" r="6985" b="9525"/>
            <wp:wrapNone/>
            <wp:docPr id="1"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C:\Users\Administrator\Desktop\签名.jpg"/>
                    <pic:cNvPicPr>
                      <a:picLocks noChangeAspect="1"/>
                    </pic:cNvPicPr>
                  </pic:nvPicPr>
                  <pic:blipFill>
                    <a:blip r:embed="rId6"/>
                    <a:stretch>
                      <a:fillRect/>
                    </a:stretch>
                  </pic:blipFill>
                  <pic:spPr>
                    <a:xfrm>
                      <a:off x="0" y="0"/>
                      <a:ext cx="450215" cy="340995"/>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rPr>
          <w:sz w:val="24"/>
        </w:rPr>
        <w:drawing>
          <wp:anchor distT="0" distB="0" distL="114300" distR="114300" simplePos="0" relativeHeight="251661312" behindDoc="0" locked="0" layoutInCell="1" allowOverlap="1">
            <wp:simplePos x="0" y="0"/>
            <wp:positionH relativeFrom="column">
              <wp:posOffset>1732280</wp:posOffset>
            </wp:positionH>
            <wp:positionV relativeFrom="paragraph">
              <wp:posOffset>57785</wp:posOffset>
            </wp:positionV>
            <wp:extent cx="590550" cy="426720"/>
            <wp:effectExtent l="0" t="0" r="3810" b="0"/>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7"/>
                    <a:stretch>
                      <a:fillRect/>
                    </a:stretch>
                  </pic:blipFill>
                  <pic:spPr>
                    <a:xfrm>
                      <a:off x="0" y="0"/>
                      <a:ext cx="590550" cy="42672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2021.01.19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pStyle w:val="2"/>
      </w:pPr>
      <w:r>
        <w:rPr>
          <w:rFonts w:hint="eastAsia"/>
          <w:b/>
          <w:sz w:val="22"/>
          <w:szCs w:val="22"/>
        </w:rPr>
        <w:drawing>
          <wp:anchor distT="0" distB="0" distL="114300" distR="114300" simplePos="0" relativeHeight="251667456" behindDoc="0" locked="0" layoutInCell="1" allowOverlap="1">
            <wp:simplePos x="0" y="0"/>
            <wp:positionH relativeFrom="column">
              <wp:posOffset>1179195</wp:posOffset>
            </wp:positionH>
            <wp:positionV relativeFrom="paragraph">
              <wp:posOffset>176530</wp:posOffset>
            </wp:positionV>
            <wp:extent cx="478155" cy="361950"/>
            <wp:effectExtent l="0" t="0" r="9525" b="3810"/>
            <wp:wrapNone/>
            <wp:docPr id="3"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C:\Users\Administrator\Desktop\签名.jpg"/>
                    <pic:cNvPicPr>
                      <a:picLocks noChangeAspect="1"/>
                    </pic:cNvPicPr>
                  </pic:nvPicPr>
                  <pic:blipFill>
                    <a:blip r:embed="rId6"/>
                    <a:stretch>
                      <a:fillRect/>
                    </a:stretch>
                  </pic:blipFill>
                  <pic:spPr>
                    <a:xfrm>
                      <a:off x="0" y="0"/>
                      <a:ext cx="478155" cy="361950"/>
                    </a:xfrm>
                    <a:prstGeom prst="rect">
                      <a:avLst/>
                    </a:prstGeom>
                    <a:noFill/>
                    <a:ln>
                      <a:noFill/>
                    </a:ln>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0F5DFF"/>
    <w:multiLevelType w:val="singleLevel"/>
    <w:tmpl w:val="B10F5DFF"/>
    <w:lvl w:ilvl="0" w:tentative="0">
      <w:start w:val="3"/>
      <w:numFmt w:val="decimal"/>
      <w:suff w:val="space"/>
      <w:lvlText w:val="%1."/>
      <w:lvlJc w:val="left"/>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010CCDBB"/>
    <w:multiLevelType w:val="singleLevel"/>
    <w:tmpl w:val="010CCDBB"/>
    <w:lvl w:ilvl="0" w:tentative="0">
      <w:start w:val="4"/>
      <w:numFmt w:val="decimal"/>
      <w:suff w:val="space"/>
      <w:lvlText w:val="%1."/>
      <w:lvlJc w:val="left"/>
    </w:lvl>
  </w:abstractNum>
  <w:abstractNum w:abstractNumId="3">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CA0B11"/>
    <w:rsid w:val="753E4B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semiHidden/>
    <w:qFormat/>
    <w:locked/>
    <w:uiPriority w:val="99"/>
    <w:rPr>
      <w:rFonts w:ascii="Times New Roman" w:hAnsi="Times New Roman" w:eastAsia="宋体" w:cs="Times New Roman"/>
      <w:sz w:val="18"/>
      <w:szCs w:val="18"/>
    </w:rPr>
  </w:style>
  <w:style w:type="character" w:customStyle="1" w:styleId="12">
    <w:name w:val="页眉 Char"/>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小冉</cp:lastModifiedBy>
  <cp:lastPrinted>2019-04-18T08:15:00Z</cp:lastPrinted>
  <dcterms:modified xsi:type="dcterms:W3CDTF">2021-01-19T14:10:32Z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