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受审核方：成都脉通管业有限公司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E:14.02.01</w:t>
            </w:r>
          </w:p>
          <w:p>
            <w:pPr>
              <w:jc w:val="center"/>
              <w:rPr>
                <w:b/>
                <w:sz w:val="21"/>
                <w:szCs w:val="21"/>
              </w:rPr>
            </w:pPr>
            <w:r>
              <w:rPr>
                <w:b/>
                <w:sz w:val="21"/>
                <w:szCs w:val="21"/>
              </w:rPr>
              <w:t>O:14.02.01</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2019-N1EMS-1242345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成都脉通管业有限公司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成都市青白江区工业集中发展区创新路</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610300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成都市青白江区工业集中发展区创新路</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610300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成都市青白江区工业集中发展区创新路</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610300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贺经理</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17748491157</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董定旭</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张茂华</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2021年01月18日 上午至2021年01月18日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：CPVC、MPP电缆保护管的生产所涉及场所的相关环境管理活动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 xml:space="preserve">：CPVC、MPP电缆保护管的生产所涉及场所的相关职业健康安全管理活动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line="360" w:lineRule="exact"/>
              <w:rPr>
                <w:sz w:val="20"/>
                <w:szCs w:val="22"/>
              </w:rPr>
            </w:pPr>
            <w:r>
              <w:rPr>
                <w:rFonts w:hint="eastAsia"/>
                <w:sz w:val="20"/>
                <w:szCs w:val="22"/>
              </w:rPr>
              <w:t>认证标准变更：原依据标准：GB/T 28001-2011idtOHSAS 18001:2007</w:t>
            </w:r>
          </w:p>
          <w:p>
            <w:pPr>
              <w:spacing w:line="360" w:lineRule="exact"/>
              <w:rPr>
                <w:rFonts w:ascii="宋体" w:hAnsi="宋体"/>
                <w:b/>
                <w:sz w:val="21"/>
                <w:szCs w:val="21"/>
              </w:rPr>
            </w:pPr>
            <w:r>
              <w:rPr>
                <w:rFonts w:hint="eastAsia"/>
                <w:sz w:val="20"/>
                <w:szCs w:val="22"/>
              </w:rPr>
              <w:t>现依据标准为：GB/T45001-2020 idt</w:t>
            </w:r>
            <w:r>
              <w:rPr>
                <w:rFonts w:hint="eastAsia"/>
                <w:sz w:val="20"/>
                <w:szCs w:val="22"/>
                <w:lang w:val="en-US" w:eastAsia="zh-CN"/>
              </w:rPr>
              <w:t xml:space="preserve"> </w:t>
            </w:r>
            <w:r>
              <w:rPr>
                <w:rFonts w:hint="eastAsia"/>
                <w:sz w:val="20"/>
                <w:szCs w:val="22"/>
              </w:rPr>
              <w:t>ISO45001：2018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E：14.02.01</w:t>
            </w:r>
          </w:p>
          <w:p>
            <w:pPr>
              <w:spacing w:line="260" w:lineRule="exact"/>
              <w:rPr>
                <w:rFonts w:ascii="宋体" w:hAnsi="宋体"/>
                <w:b/>
                <w:sz w:val="21"/>
                <w:szCs w:val="21"/>
              </w:rPr>
            </w:pPr>
            <w:r>
              <w:rPr>
                <w:rFonts w:ascii="宋体" w:hAnsi="宋体"/>
                <w:b/>
                <w:sz w:val="21"/>
                <w:szCs w:val="21"/>
              </w:rPr>
              <w:t>O：14.02.01</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2020.2.12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2020.1.13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eastAsia" w:ascii="宋体" w:hAnsi="宋体" w:eastAsia="宋体"/>
          <w:b/>
          <w:sz w:val="21"/>
          <w:szCs w:val="21"/>
          <w:lang w:val="en-US" w:eastAsia="zh-CN"/>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服务抽查了MPP电缆保护管的生产所涉及场所的相关环境管理活动</w:t>
      </w:r>
      <w:r>
        <w:rPr>
          <w:rFonts w:hint="eastAsia" w:ascii="宋体" w:hAnsi="宋体"/>
          <w:b/>
          <w:sz w:val="21"/>
          <w:szCs w:val="21"/>
          <w:lang w:val="en-US" w:eastAsia="zh-CN"/>
        </w:rPr>
        <w:t>和</w:t>
      </w:r>
      <w:r>
        <w:rPr>
          <w:rFonts w:hint="eastAsia" w:ascii="宋体" w:hAnsi="宋体"/>
          <w:b/>
          <w:sz w:val="21"/>
          <w:szCs w:val="21"/>
        </w:rPr>
        <w:t>职业健康安全管理活动</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240" w:lineRule="exact"/>
              <w:rPr>
                <w:rFonts w:hint="eastAsia"/>
                <w:b/>
                <w:bCs/>
                <w:sz w:val="21"/>
                <w:szCs w:val="21"/>
              </w:rPr>
            </w:pPr>
            <w:r>
              <w:rPr>
                <w:b/>
                <w:bCs/>
                <w:sz w:val="21"/>
                <w:szCs w:val="21"/>
              </w:rPr>
              <w:t>1</w:t>
            </w:r>
            <w:r>
              <w:rPr>
                <w:rFonts w:hint="eastAsia"/>
                <w:b/>
                <w:bCs/>
                <w:sz w:val="21"/>
                <w:szCs w:val="21"/>
              </w:rPr>
              <w:t>、组织及其环境的识别情况</w:t>
            </w:r>
          </w:p>
          <w:p>
            <w:pPr>
              <w:pStyle w:val="2"/>
              <w:rPr>
                <w:sz w:val="21"/>
                <w:szCs w:val="21"/>
              </w:rPr>
            </w:pPr>
            <w:r>
              <w:rPr>
                <w:rStyle w:val="8"/>
                <w:rFonts w:hint="eastAsia"/>
                <w:sz w:val="2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32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320" w:lineRule="exact"/>
              <w:rPr>
                <w:rFonts w:ascii="Times New Roman" w:hAnsi="Times New Roman" w:eastAsia="宋体" w:cs="Times New Roman"/>
                <w:b/>
                <w:color w:val="000000" w:themeColor="text1"/>
                <w:kern w:val="2"/>
                <w:sz w:val="21"/>
                <w:szCs w:val="21"/>
                <w:lang w:val="en-US" w:eastAsia="zh-CN" w:bidi="ar-SA"/>
              </w:rPr>
            </w:pPr>
            <w:r>
              <w:rPr>
                <w:rFonts w:hint="eastAsia" w:ascii="Times New Roman" w:hAnsi="Times New Roman" w:eastAsia="宋体" w:cs="Times New Roman"/>
                <w:b/>
                <w:color w:val="000000" w:themeColor="text1"/>
                <w:kern w:val="2"/>
                <w:sz w:val="21"/>
                <w:szCs w:val="21"/>
                <w:lang w:val="en-US" w:eastAsia="zh-CN" w:bidi="ar-SA"/>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320" w:lineRule="exact"/>
              <w:rPr>
                <w:rFonts w:ascii="宋体" w:hAnsi="宋体"/>
                <w:b/>
                <w:color w:val="000000" w:themeColor="text1"/>
                <w:sz w:val="21"/>
                <w:szCs w:val="21"/>
              </w:rPr>
            </w:pPr>
            <w:r>
              <w:rPr>
                <w:b/>
                <w:color w:val="000000" w:themeColor="text1"/>
                <w:sz w:val="21"/>
                <w:szCs w:val="21"/>
              </w:rPr>
              <w:t>3.</w:t>
            </w:r>
            <w:r>
              <w:rPr>
                <w:rFonts w:hint="eastAsia"/>
                <w:b/>
                <w:sz w:val="21"/>
                <w:szCs w:val="21"/>
                <w:lang w:val="de-DE"/>
              </w:rPr>
              <w:t>□</w:t>
            </w:r>
            <w:r>
              <w:rPr>
                <w:rFonts w:hint="eastAsia" w:ascii="宋体" w:hAnsi="宋体"/>
                <w:b/>
                <w:color w:val="000000" w:themeColor="text1"/>
                <w:sz w:val="21"/>
                <w:szCs w:val="21"/>
              </w:rPr>
              <w:t>质量/</w:t>
            </w:r>
            <w:r>
              <w:rPr>
                <w:rFonts w:hint="eastAsia" w:ascii="宋体" w:hAnsi="宋体"/>
                <w:b/>
                <w:color w:val="000000"/>
                <w:sz w:val="21"/>
                <w:szCs w:val="21"/>
              </w:rPr>
              <w:t>■</w:t>
            </w:r>
            <w:r>
              <w:rPr>
                <w:rFonts w:hint="eastAsia" w:ascii="宋体" w:hAnsi="宋体"/>
                <w:b/>
                <w:color w:val="000000" w:themeColor="text1"/>
                <w:sz w:val="21"/>
                <w:szCs w:val="21"/>
              </w:rPr>
              <w:t>环境/</w:t>
            </w:r>
            <w:r>
              <w:rPr>
                <w:rFonts w:hint="eastAsia" w:ascii="宋体" w:hAnsi="宋体"/>
                <w:b/>
                <w:color w:val="000000"/>
                <w:sz w:val="21"/>
                <w:szCs w:val="21"/>
              </w:rPr>
              <w:t>■</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adjustRightInd w:val="0"/>
              <w:spacing w:line="320" w:lineRule="exact"/>
              <w:textAlignment w:val="baseline"/>
              <w:rPr>
                <w:rFonts w:ascii="微软雅黑" w:hAnsi="微软雅黑" w:eastAsia="微软雅黑"/>
                <w:b/>
                <w:sz w:val="21"/>
                <w:szCs w:val="21"/>
              </w:rPr>
            </w:pPr>
            <w:r>
              <w:rPr>
                <w:rFonts w:hint="eastAsia" w:ascii="微软雅黑" w:hAnsi="微软雅黑" w:eastAsia="微软雅黑"/>
                <w:b/>
                <w:sz w:val="21"/>
                <w:szCs w:val="21"/>
              </w:rPr>
              <w:t>公司的质量、环境、职业健康安全方针是：</w:t>
            </w:r>
          </w:p>
          <w:p>
            <w:pPr>
              <w:spacing w:line="320" w:lineRule="exact"/>
              <w:ind w:firstLine="472" w:firstLineChars="225"/>
              <w:rPr>
                <w:rFonts w:ascii="PMingLiU" w:hAnsi="PMingLiU"/>
                <w:sz w:val="21"/>
                <w:szCs w:val="21"/>
              </w:rPr>
            </w:pPr>
            <w:r>
              <w:rPr>
                <w:rFonts w:ascii="宋体" w:hAnsi="宋体" w:cs="宋体"/>
                <w:kern w:val="0"/>
                <w:sz w:val="21"/>
                <w:szCs w:val="21"/>
              </w:rPr>
              <w:t>以稳定品质、完善服务、持续改进、满足顾客需求；以安全生产、保护环境、</w:t>
            </w:r>
            <w:r>
              <w:rPr>
                <w:rFonts w:hint="eastAsia" w:ascii="宋体" w:hAnsi="宋体" w:cs="宋体"/>
                <w:kern w:val="0"/>
                <w:sz w:val="21"/>
                <w:szCs w:val="21"/>
              </w:rPr>
              <w:t>提前预防</w:t>
            </w:r>
            <w:r>
              <w:rPr>
                <w:rFonts w:ascii="宋体" w:hAnsi="宋体" w:cs="宋体"/>
                <w:kern w:val="0"/>
                <w:sz w:val="21"/>
                <w:szCs w:val="21"/>
              </w:rPr>
              <w:t>、体现社会责任</w:t>
            </w:r>
            <w:r>
              <w:rPr>
                <w:rFonts w:hint="eastAsia" w:ascii="宋体" w:hAnsi="宋体" w:cs="宋体"/>
                <w:kern w:val="0"/>
                <w:sz w:val="21"/>
                <w:szCs w:val="21"/>
              </w:rPr>
              <w:t>。</w:t>
            </w:r>
          </w:p>
          <w:p>
            <w:pPr>
              <w:spacing w:line="320" w:lineRule="exact"/>
              <w:ind w:left="228" w:leftChars="95"/>
              <w:rPr>
                <w:rFonts w:ascii="Times New Roman" w:hAnsi="Times New Roman" w:eastAsia="宋体" w:cs="Times New Roman"/>
                <w:b/>
                <w:kern w:val="2"/>
                <w:sz w:val="21"/>
                <w:szCs w:val="21"/>
                <w:lang w:val="en-US" w:eastAsia="zh-CN" w:bidi="ar-SA"/>
              </w:rPr>
            </w:pPr>
            <w:r>
              <w:rPr>
                <w:b/>
                <w:sz w:val="21"/>
                <w:szCs w:val="21"/>
                <w:u w:val="single"/>
              </w:rPr>
              <w:t>管理方针在内部适当的沟通</w:t>
            </w:r>
            <w:r>
              <w:rPr>
                <w:rFonts w:hint="eastAsia"/>
                <w:b/>
                <w:sz w:val="21"/>
                <w:szCs w:val="21"/>
                <w:u w:val="single"/>
              </w:rPr>
              <w:t>，</w:t>
            </w:r>
            <w:r>
              <w:rPr>
                <w:b/>
                <w:sz w:val="21"/>
                <w:szCs w:val="21"/>
                <w:u w:val="single"/>
              </w:rPr>
              <w:t>管理评审时对EO方针进行了评审</w:t>
            </w:r>
            <w:r>
              <w:rPr>
                <w:rFonts w:hint="eastAsia"/>
                <w:b/>
                <w:sz w:val="21"/>
                <w:szCs w:val="21"/>
                <w:u w:val="single"/>
              </w:rPr>
              <w:t>，</w:t>
            </w:r>
            <w:r>
              <w:rPr>
                <w:b/>
                <w:sz w:val="21"/>
                <w:szCs w:val="21"/>
                <w:u w:val="single"/>
              </w:rPr>
              <w:t>方针适宜</w:t>
            </w:r>
            <w:r>
              <w:rPr>
                <w:rFonts w:hint="eastAsia"/>
                <w:b/>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spacing w:line="280" w:lineRule="exact"/>
              <w:rPr>
                <w:rFonts w:hint="eastAsia" w:ascii="宋体" w:hAnsi="宋体" w:eastAsia="宋体"/>
                <w:b/>
                <w:sz w:val="21"/>
                <w:szCs w:val="21"/>
                <w:lang w:val="en-US" w:eastAsia="zh-CN"/>
              </w:rPr>
            </w:pPr>
            <w:r>
              <w:rPr>
                <w:rFonts w:ascii="宋体" w:hAnsi="宋体"/>
                <w:b/>
                <w:sz w:val="21"/>
                <w:szCs w:val="21"/>
              </w:rPr>
              <w:t>4</w:t>
            </w:r>
            <w:r>
              <w:rPr>
                <w:rFonts w:hint="eastAsia" w:ascii="宋体" w:hAnsi="宋体"/>
                <w:b/>
                <w:sz w:val="21"/>
                <w:szCs w:val="21"/>
              </w:rPr>
              <w:t>、风险识别与控制策划（QMS）</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/□50430过程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2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tabs>
                <w:tab w:val="left" w:pos="2552"/>
              </w:tabs>
              <w:spacing w:line="320" w:lineRule="exact"/>
              <w:rPr>
                <w:rFonts w:ascii="宋体" w:hAnsi="宋体"/>
                <w:b/>
                <w:sz w:val="21"/>
                <w:szCs w:val="21"/>
                <w:u w:val="single"/>
              </w:rPr>
            </w:pPr>
            <w:r>
              <w:rPr>
                <w:rFonts w:hint="eastAsia" w:ascii="宋体" w:hAnsi="宋体"/>
                <w:b/>
                <w:sz w:val="21"/>
                <w:szCs w:val="21"/>
                <w:u w:val="single"/>
              </w:rPr>
              <w:t>识别了办公、销售、服务等过程的环境因素，动态更新，评价出的重要环境因素包括：固体废弃物排放、火灾隐患等。</w:t>
            </w:r>
          </w:p>
          <w:p>
            <w:pPr>
              <w:tabs>
                <w:tab w:val="left" w:pos="2552"/>
              </w:tabs>
              <w:spacing w:line="320" w:lineRule="exact"/>
              <w:rPr>
                <w:rFonts w:ascii="宋体" w:hAnsi="宋体"/>
                <w:b/>
                <w:sz w:val="21"/>
                <w:szCs w:val="21"/>
                <w:u w:val="single"/>
              </w:rPr>
            </w:pPr>
            <w:r>
              <w:rPr>
                <w:rFonts w:hint="eastAsia" w:ascii="宋体" w:hAnsi="宋体"/>
                <w:b/>
                <w:sz w:val="21"/>
                <w:szCs w:val="21"/>
                <w:u w:val="single"/>
              </w:rPr>
              <w:t>在采购、销售、质检、仓储、运输、交付、日常办公等过程能使用生命周期观点和方法识别环境因素并加以管理。</w:t>
            </w:r>
          </w:p>
          <w:p>
            <w:pPr>
              <w:tabs>
                <w:tab w:val="left" w:pos="2552"/>
              </w:tabs>
              <w:spacing w:line="32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b/>
                <w:sz w:val="21"/>
                <w:szCs w:val="21"/>
                <w:u w:val="single"/>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2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tabs>
                <w:tab w:val="left" w:pos="2552"/>
              </w:tabs>
              <w:spacing w:line="320" w:lineRule="exact"/>
              <w:rPr>
                <w:rFonts w:ascii="宋体" w:hAnsi="宋体"/>
                <w:b/>
                <w:sz w:val="21"/>
                <w:szCs w:val="21"/>
                <w:u w:val="single"/>
              </w:rPr>
            </w:pPr>
            <w:r>
              <w:rPr>
                <w:rFonts w:hint="eastAsia" w:ascii="宋体" w:hAnsi="宋体"/>
                <w:b/>
                <w:sz w:val="21"/>
                <w:szCs w:val="21"/>
                <w:u w:val="single"/>
              </w:rPr>
              <w:t>识别了办公、生产、销售、质检等过程的危险源，动态更新，确定的不可接受风险包括：触电、火灾、人身伤害等。</w:t>
            </w:r>
          </w:p>
          <w:p>
            <w:pPr>
              <w:spacing w:line="320" w:lineRule="exact"/>
              <w:ind w:firstLine="422" w:firstLineChars="200"/>
              <w:rPr>
                <w:rFonts w:ascii="宋体" w:hAnsi="宋体"/>
                <w:b/>
                <w:sz w:val="21"/>
                <w:szCs w:val="21"/>
                <w:u w:val="single"/>
              </w:rPr>
            </w:pPr>
            <w:r>
              <w:rPr>
                <w:rFonts w:hint="eastAsia" w:ascii="宋体" w:hAnsi="宋体"/>
                <w:b/>
                <w:sz w:val="21"/>
                <w:szCs w:val="21"/>
                <w:u w:val="single"/>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2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b/>
                <w:sz w:val="21"/>
                <w:szCs w:val="21"/>
                <w:u w:val="single"/>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3"/>
              <w:numPr>
                <w:ilvl w:val="0"/>
                <w:numId w:val="1"/>
              </w:numPr>
              <w:tabs>
                <w:tab w:val="left" w:pos="540"/>
              </w:tabs>
              <w:spacing w:line="32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w:t>
            </w:r>
            <w:r>
              <w:rPr>
                <w:rFonts w:hint="eastAsia" w:ascii="宋体" w:hAnsi="宋体"/>
                <w:b/>
                <w:color w:val="000000"/>
                <w:sz w:val="21"/>
                <w:szCs w:val="21"/>
              </w:rPr>
              <w:t>■</w:t>
            </w:r>
            <w:r>
              <w:rPr>
                <w:rFonts w:hint="eastAsia" w:ascii="宋体" w:hAnsi="宋体"/>
                <w:b/>
                <w:color w:val="000000" w:themeColor="text1"/>
                <w:sz w:val="21"/>
                <w:szCs w:val="21"/>
              </w:rPr>
              <w:t>法律法规获取充分，□法律法规获取有遗漏，缺少</w:t>
            </w:r>
          </w:p>
          <w:p>
            <w:pPr>
              <w:pStyle w:val="13"/>
              <w:numPr>
                <w:ilvl w:val="0"/>
                <w:numId w:val="1"/>
              </w:numPr>
              <w:tabs>
                <w:tab w:val="left" w:pos="540"/>
              </w:tabs>
              <w:spacing w:line="32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sz w:val="21"/>
                <w:szCs w:val="21"/>
              </w:rPr>
              <w:t>■</w:t>
            </w:r>
            <w:r>
              <w:rPr>
                <w:rFonts w:hint="eastAsia" w:ascii="宋体" w:hAnsi="宋体"/>
                <w:b/>
                <w:color w:val="000000" w:themeColor="text1"/>
                <w:sz w:val="21"/>
                <w:szCs w:val="21"/>
              </w:rPr>
              <w:t>产品/服务</w:t>
            </w:r>
            <w:r>
              <w:rPr>
                <w:rFonts w:hint="eastAsia" w:ascii="宋体" w:hAnsi="宋体"/>
                <w:b/>
                <w:color w:val="000000"/>
                <w:sz w:val="21"/>
                <w:szCs w:val="21"/>
              </w:rPr>
              <w:t>■</w:t>
            </w:r>
            <w:r>
              <w:rPr>
                <w:rFonts w:hint="eastAsia" w:ascii="宋体" w:hAnsi="宋体"/>
                <w:b/>
                <w:color w:val="000000" w:themeColor="text1"/>
                <w:sz w:val="21"/>
                <w:szCs w:val="21"/>
              </w:rPr>
              <w:t>环境因素</w:t>
            </w:r>
            <w:r>
              <w:rPr>
                <w:rFonts w:hint="eastAsia" w:ascii="宋体" w:hAnsi="宋体"/>
                <w:b/>
                <w:color w:val="000000"/>
                <w:sz w:val="21"/>
                <w:szCs w:val="21"/>
              </w:rPr>
              <w:t>■</w:t>
            </w:r>
            <w:r>
              <w:rPr>
                <w:rFonts w:hint="eastAsia" w:ascii="宋体" w:hAnsi="宋体"/>
                <w:b/>
                <w:color w:val="000000" w:themeColor="text1"/>
                <w:sz w:val="21"/>
                <w:szCs w:val="21"/>
              </w:rPr>
              <w:t>危险源，</w:t>
            </w:r>
            <w:r>
              <w:rPr>
                <w:rFonts w:hint="eastAsia" w:ascii="宋体" w:hAnsi="宋体"/>
                <w:b/>
                <w:color w:val="000000"/>
                <w:sz w:val="21"/>
                <w:szCs w:val="21"/>
              </w:rPr>
              <w:t>■</w:t>
            </w:r>
            <w:r>
              <w:rPr>
                <w:rFonts w:hint="eastAsia" w:ascii="宋体" w:hAnsi="宋体"/>
                <w:b/>
                <w:color w:val="000000" w:themeColor="text1"/>
                <w:sz w:val="21"/>
                <w:szCs w:val="21"/>
              </w:rPr>
              <w:t>确定 □未确定法律法规要求的具体条款，</w:t>
            </w:r>
          </w:p>
          <w:p>
            <w:pPr>
              <w:pStyle w:val="13"/>
              <w:numPr>
                <w:ilvl w:val="0"/>
                <w:numId w:val="1"/>
              </w:numPr>
              <w:tabs>
                <w:tab w:val="left" w:pos="540"/>
              </w:tabs>
              <w:spacing w:line="320" w:lineRule="exact"/>
              <w:ind w:firstLineChars="0"/>
              <w:rPr>
                <w:rFonts w:ascii="宋体" w:hAnsi="宋体"/>
                <w:b/>
                <w:sz w:val="21"/>
                <w:szCs w:val="21"/>
                <w:u w:val="single"/>
              </w:rPr>
            </w:pPr>
            <w:r>
              <w:rPr>
                <w:rFonts w:hint="eastAsia" w:ascii="宋体" w:hAnsi="宋体"/>
                <w:b/>
                <w:color w:val="000000" w:themeColor="text1"/>
                <w:sz w:val="21"/>
                <w:szCs w:val="21"/>
              </w:rPr>
              <w:t>法律法规的宣传方式：</w:t>
            </w:r>
            <w:r>
              <w:rPr>
                <w:rFonts w:hint="eastAsia" w:ascii="宋体" w:hAnsi="宋体"/>
                <w:b/>
                <w:sz w:val="21"/>
                <w:szCs w:val="21"/>
                <w:u w:val="single"/>
              </w:rPr>
              <w:t>公司通过培训、会议等方式向有关员工传达法律、法规及其它要求的相关要求。</w:t>
            </w:r>
          </w:p>
          <w:p>
            <w:pPr>
              <w:pStyle w:val="13"/>
              <w:numPr>
                <w:ilvl w:val="0"/>
                <w:numId w:val="1"/>
              </w:numPr>
              <w:tabs>
                <w:tab w:val="left" w:pos="540"/>
              </w:tabs>
              <w:spacing w:line="320" w:lineRule="exact"/>
              <w:ind w:firstLineChars="0"/>
              <w:rPr>
                <w:rFonts w:ascii="Times New Roman"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法律法规要求及时更新了：公司法律法规清单</w:t>
            </w:r>
            <w:r>
              <w:rPr>
                <w:rFonts w:hint="eastAsia" w:ascii="宋体" w:hAnsi="宋体"/>
                <w:b/>
                <w:sz w:val="21"/>
                <w:szCs w:val="21"/>
                <w:u w:val="single"/>
              </w:rPr>
              <w:t>为最新版本，每年更新一次。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2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20" w:lineRule="exact"/>
              <w:rPr>
                <w:rFonts w:ascii="宋体" w:hAnsi="宋体"/>
                <w:b/>
                <w:sz w:val="21"/>
                <w:szCs w:val="21"/>
              </w:rPr>
            </w:pPr>
            <w:r>
              <w:rPr>
                <w:rFonts w:hint="eastAsia" w:ascii="宋体" w:hAnsi="宋体"/>
                <w:b/>
                <w:sz w:val="21"/>
                <w:szCs w:val="21"/>
              </w:rPr>
              <w:t>公司</w:t>
            </w:r>
            <w:r>
              <w:rPr>
                <w:rFonts w:hint="eastAsia" w:ascii="宋体" w:hAnsi="宋体"/>
                <w:b/>
                <w:sz w:val="21"/>
                <w:szCs w:val="21"/>
                <w:u w:val="single"/>
              </w:rPr>
              <w:t>环境</w:t>
            </w:r>
            <w:r>
              <w:rPr>
                <w:rFonts w:hint="eastAsia" w:ascii="宋体" w:hAnsi="宋体"/>
                <w:b/>
                <w:sz w:val="21"/>
                <w:szCs w:val="21"/>
              </w:rPr>
              <w:t>、</w:t>
            </w:r>
            <w:r>
              <w:rPr>
                <w:rFonts w:hint="eastAsia" w:ascii="宋体" w:hAnsi="宋体"/>
                <w:b/>
                <w:sz w:val="21"/>
                <w:szCs w:val="21"/>
                <w:u w:val="single"/>
              </w:rPr>
              <w:t>健康安全</w:t>
            </w:r>
            <w:r>
              <w:rPr>
                <w:rFonts w:hint="eastAsia" w:ascii="宋体" w:hAnsi="宋体"/>
                <w:b/>
                <w:sz w:val="21"/>
                <w:szCs w:val="21"/>
              </w:rPr>
              <w:t>目标：</w:t>
            </w:r>
          </w:p>
          <w:p>
            <w:pPr>
              <w:rPr>
                <w:rFonts w:ascii="宋体" w:hAnsi="宋体"/>
                <w:b/>
                <w:sz w:val="21"/>
                <w:szCs w:val="21"/>
              </w:rPr>
            </w:pPr>
            <w:r>
              <w:rPr>
                <w:rFonts w:hint="eastAsia" w:ascii="宋体" w:hAnsi="宋体"/>
                <w:b/>
                <w:sz w:val="21"/>
                <w:szCs w:val="21"/>
              </w:rPr>
              <w:t>环境目标</w:t>
            </w:r>
          </w:p>
          <w:p>
            <w:pPr>
              <w:numPr>
                <w:ilvl w:val="0"/>
                <w:numId w:val="2"/>
              </w:numPr>
              <w:rPr>
                <w:rFonts w:ascii="宋体" w:hAnsi="宋体"/>
                <w:b/>
                <w:sz w:val="21"/>
                <w:szCs w:val="21"/>
              </w:rPr>
            </w:pPr>
            <w:r>
              <w:rPr>
                <w:rFonts w:hint="eastAsia" w:ascii="宋体" w:hAnsi="宋体"/>
                <w:b/>
                <w:sz w:val="21"/>
                <w:szCs w:val="21"/>
              </w:rPr>
              <w:t>无火灾爆炸事故发生</w:t>
            </w:r>
          </w:p>
          <w:p>
            <w:pPr>
              <w:numPr>
                <w:ilvl w:val="0"/>
                <w:numId w:val="2"/>
              </w:numPr>
              <w:rPr>
                <w:rFonts w:ascii="宋体" w:hAnsi="宋体"/>
                <w:b/>
                <w:sz w:val="21"/>
                <w:szCs w:val="21"/>
              </w:rPr>
            </w:pPr>
            <w:r>
              <w:rPr>
                <w:rFonts w:hint="eastAsia" w:ascii="宋体" w:hAnsi="宋体"/>
                <w:b/>
                <w:sz w:val="21"/>
                <w:szCs w:val="21"/>
              </w:rPr>
              <w:t>固体废弃物分类收集处置</w:t>
            </w:r>
          </w:p>
          <w:p>
            <w:pPr>
              <w:rPr>
                <w:rFonts w:ascii="宋体" w:hAnsi="宋体"/>
                <w:b/>
                <w:sz w:val="21"/>
                <w:szCs w:val="21"/>
              </w:rPr>
            </w:pPr>
            <w:r>
              <w:rPr>
                <w:rFonts w:hint="eastAsia" w:ascii="宋体" w:hAnsi="宋体"/>
                <w:b/>
                <w:sz w:val="21"/>
                <w:szCs w:val="21"/>
              </w:rPr>
              <w:t>安全目标</w:t>
            </w:r>
          </w:p>
          <w:p>
            <w:pPr>
              <w:numPr>
                <w:ilvl w:val="1"/>
                <w:numId w:val="3"/>
              </w:numPr>
              <w:tabs>
                <w:tab w:val="left" w:pos="2880"/>
              </w:tabs>
              <w:rPr>
                <w:b/>
                <w:sz w:val="21"/>
                <w:szCs w:val="21"/>
              </w:rPr>
            </w:pPr>
            <w:r>
              <w:rPr>
                <w:rFonts w:hint="eastAsia"/>
                <w:b/>
                <w:sz w:val="21"/>
                <w:szCs w:val="21"/>
              </w:rPr>
              <w:t>无火灾、触电事故的发生</w:t>
            </w:r>
          </w:p>
          <w:p>
            <w:pPr>
              <w:numPr>
                <w:ilvl w:val="1"/>
                <w:numId w:val="3"/>
              </w:numPr>
              <w:tabs>
                <w:tab w:val="left" w:pos="2880"/>
              </w:tabs>
              <w:rPr>
                <w:b/>
                <w:sz w:val="21"/>
                <w:szCs w:val="21"/>
              </w:rPr>
            </w:pPr>
            <w:r>
              <w:rPr>
                <w:rFonts w:hint="eastAsia"/>
                <w:b/>
                <w:sz w:val="21"/>
                <w:szCs w:val="21"/>
              </w:rPr>
              <w:t>无重大人员伤亡事故发生</w:t>
            </w:r>
          </w:p>
          <w:p>
            <w:pPr>
              <w:numPr>
                <w:ilvl w:val="1"/>
                <w:numId w:val="3"/>
              </w:numPr>
              <w:tabs>
                <w:tab w:val="left" w:pos="2880"/>
              </w:tabs>
              <w:rPr>
                <w:b/>
                <w:sz w:val="21"/>
                <w:szCs w:val="21"/>
              </w:rPr>
            </w:pPr>
            <w:r>
              <w:rPr>
                <w:rFonts w:hint="eastAsia"/>
                <w:b/>
                <w:sz w:val="21"/>
                <w:szCs w:val="21"/>
              </w:rPr>
              <w:t>无职业病发生</w:t>
            </w:r>
          </w:p>
          <w:p>
            <w:pPr>
              <w:numPr>
                <w:ilvl w:val="1"/>
                <w:numId w:val="3"/>
              </w:numPr>
              <w:tabs>
                <w:tab w:val="left" w:pos="2880"/>
              </w:tabs>
              <w:rPr>
                <w:b/>
                <w:sz w:val="21"/>
                <w:szCs w:val="21"/>
              </w:rPr>
            </w:pPr>
            <w:r>
              <w:rPr>
                <w:rFonts w:hint="eastAsia"/>
                <w:b/>
                <w:sz w:val="21"/>
                <w:szCs w:val="21"/>
              </w:rPr>
              <w:t>无食物中毒事故发生</w:t>
            </w:r>
          </w:p>
          <w:p>
            <w:pPr>
              <w:numPr>
                <w:ilvl w:val="1"/>
                <w:numId w:val="3"/>
              </w:numPr>
              <w:tabs>
                <w:tab w:val="left" w:pos="2880"/>
              </w:tabs>
              <w:rPr>
                <w:b/>
                <w:sz w:val="21"/>
                <w:szCs w:val="21"/>
              </w:rPr>
            </w:pPr>
            <w:r>
              <w:rPr>
                <w:rFonts w:hint="eastAsia"/>
                <w:b/>
                <w:sz w:val="21"/>
                <w:szCs w:val="21"/>
              </w:rPr>
              <w:t>轻伤事故的发生每年小于3次</w:t>
            </w:r>
          </w:p>
          <w:p>
            <w:pPr>
              <w:pStyle w:val="2"/>
              <w:rPr>
                <w:rFonts w:hint="default" w:eastAsia="宋体"/>
                <w:lang w:val="en-US" w:eastAsia="zh-CN"/>
              </w:rPr>
            </w:pPr>
            <w:r>
              <w:rPr>
                <w:rFonts w:hint="eastAsia"/>
                <w:b/>
                <w:sz w:val="21"/>
                <w:szCs w:val="21"/>
                <w:lang w:val="en-US" w:eastAsia="zh-CN"/>
              </w:rPr>
              <w:t xml:space="preserve">      6）无传染病发生</w:t>
            </w:r>
          </w:p>
          <w:p>
            <w:pPr>
              <w:spacing w:line="320" w:lineRule="exact"/>
              <w:rPr>
                <w:rFonts w:ascii="宋体" w:hAnsi="宋体" w:eastAsia="宋体" w:cs="Times New Roman"/>
                <w:b/>
                <w:kern w:val="2"/>
                <w:sz w:val="21"/>
                <w:szCs w:val="21"/>
                <w:u w:val="single"/>
                <w:lang w:val="en-US" w:eastAsia="zh-CN" w:bidi="ar-SA"/>
              </w:rPr>
            </w:pPr>
            <w:r>
              <w:rPr>
                <w:rFonts w:hint="eastAsia" w:ascii="宋体" w:hAnsi="宋体"/>
                <w:b/>
                <w:sz w:val="21"/>
                <w:szCs w:val="21"/>
                <w:u w:val="single"/>
              </w:rPr>
              <w:t>提供“目标分解与考核表”、“目标、指标、管理方案一览表”等。目标已分解到各部门，有目标实现的措施和资源、考核方式、考核周期等要求。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320" w:lineRule="exact"/>
              <w:rPr>
                <w:rFonts w:ascii="宋体" w:hAnsi="宋体" w:eastAsia="宋体" w:cs="Times New Roman"/>
                <w:b/>
                <w:color w:val="000000" w:themeColor="text1"/>
                <w:kern w:val="2"/>
                <w:sz w:val="21"/>
                <w:szCs w:val="21"/>
                <w:lang w:val="en-US" w:eastAsia="zh-CN" w:bidi="ar-SA"/>
              </w:rPr>
            </w:pPr>
            <w:r>
              <w:rPr>
                <w:rFonts w:ascii="宋体" w:hAnsi="宋体"/>
                <w:b/>
                <w:sz w:val="21"/>
                <w:szCs w:val="21"/>
                <w:u w:val="single"/>
              </w:rPr>
              <w:t>体系文件符合公司要求</w:t>
            </w:r>
            <w:r>
              <w:rPr>
                <w:rFonts w:hint="eastAsia" w:ascii="宋体" w:hAnsi="宋体"/>
                <w:b/>
                <w:sz w:val="21"/>
                <w:szCs w:val="21"/>
                <w:u w:val="single"/>
              </w:rPr>
              <w:t>，</w:t>
            </w:r>
            <w:r>
              <w:rPr>
                <w:rFonts w:ascii="宋体" w:hAnsi="宋体"/>
                <w:b/>
                <w:sz w:val="21"/>
                <w:szCs w:val="21"/>
                <w:u w:val="single"/>
              </w:rPr>
              <w:t>文件和记录管理控制符合标准要求</w:t>
            </w:r>
            <w:r>
              <w:rPr>
                <w:rFonts w:hint="eastAsia" w:ascii="宋体" w:hAnsi="宋体"/>
                <w:b/>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2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spacing w:line="320" w:lineRule="exact"/>
              <w:rPr>
                <w:rFonts w:ascii="宋体" w:hAnsi="宋体" w:eastAsia="宋体" w:cs="Times New Roman"/>
                <w:b/>
                <w:color w:val="000000" w:themeColor="text1"/>
                <w:kern w:val="2"/>
                <w:sz w:val="21"/>
                <w:szCs w:val="21"/>
                <w:lang w:val="en-US" w:eastAsia="zh-CN" w:bidi="ar-SA"/>
              </w:rPr>
            </w:pPr>
            <w:r>
              <w:rPr>
                <w:rFonts w:hint="eastAsia" w:ascii="宋体" w:hAnsi="宋体"/>
                <w:b/>
                <w:sz w:val="21"/>
                <w:szCs w:val="21"/>
                <w:u w:val="single"/>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320" w:lineRule="exact"/>
              <w:rPr>
                <w:rFonts w:ascii="宋体" w:hAnsi="宋体" w:eastAsia="宋体" w:cs="Times New Roman"/>
                <w:b/>
                <w:color w:val="000000" w:themeColor="text1"/>
                <w:kern w:val="2"/>
                <w:sz w:val="21"/>
                <w:szCs w:val="21"/>
                <w:u w:val="single"/>
                <w:lang w:val="en-US" w:eastAsia="zh-CN" w:bidi="ar-SA"/>
              </w:rPr>
            </w:pPr>
            <w:r>
              <w:rPr>
                <w:rFonts w:hint="eastAsia" w:ascii="宋体" w:hAnsi="宋体"/>
                <w:b/>
                <w:sz w:val="21"/>
                <w:szCs w:val="21"/>
                <w:u w:val="single"/>
              </w:rPr>
              <w:t>主要设备有：电脑、打印机、CPVC电缆保护管生产线机组、MPP电缆保护管生产线机组、造粒机、集中供料系统、集气罩、活性炭吸附装置等设施设备，有库房和办公室能满足要求；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320" w:lineRule="exact"/>
              <w:rPr>
                <w:rFonts w:ascii="宋体" w:hAnsi="宋体" w:eastAsia="宋体" w:cs="Times New Roman"/>
                <w:b/>
                <w:color w:val="000000" w:themeColor="text1"/>
                <w:kern w:val="2"/>
                <w:sz w:val="21"/>
                <w:szCs w:val="21"/>
                <w:lang w:val="en-US" w:eastAsia="zh-CN" w:bidi="ar-SA"/>
              </w:rPr>
            </w:pPr>
            <w:r>
              <w:rPr>
                <w:rFonts w:hint="eastAsia"/>
                <w:b/>
                <w:sz w:val="21"/>
                <w:szCs w:val="21"/>
                <w:u w:val="single"/>
              </w:rPr>
              <w:t>办公、生产服务场所和内设备布置合理，通道畅通，照明设施齐全，均配备了消防设施等设施。办公室明亮，培训场所光线较充足。每月由行政部对工作环境进行定期检查。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320" w:lineRule="exact"/>
              <w:ind w:firstLine="422" w:firstLineChars="200"/>
              <w:rPr>
                <w:rFonts w:ascii="宋体" w:hAnsi="宋体" w:eastAsia="宋体" w:cs="Times New Roman"/>
                <w:b/>
                <w:color w:val="000000" w:themeColor="text1"/>
                <w:kern w:val="2"/>
                <w:sz w:val="21"/>
                <w:szCs w:val="21"/>
                <w:lang w:val="en-US" w:eastAsia="zh-CN" w:bidi="ar-SA"/>
              </w:rPr>
            </w:pPr>
            <w:r>
              <w:rPr>
                <w:rFonts w:hint="eastAsia"/>
                <w:b/>
                <w:sz w:val="21"/>
                <w:szCs w:val="21"/>
                <w:u w:val="single"/>
              </w:rPr>
              <w:t>配置有卷尺、卡尺、电子天平、台秤、管材静液压试验机等。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320" w:lineRule="exact"/>
              <w:rPr>
                <w:rFonts w:ascii="宋体" w:hAnsi="宋体" w:eastAsia="宋体" w:cs="Times New Roman"/>
                <w:b/>
                <w:color w:val="000000" w:themeColor="text1"/>
                <w:kern w:val="2"/>
                <w:sz w:val="21"/>
                <w:szCs w:val="21"/>
                <w:lang w:val="en-US" w:eastAsia="zh-CN" w:bidi="ar-SA"/>
              </w:rPr>
            </w:pPr>
            <w:r>
              <w:rPr>
                <w:rFonts w:hint="eastAsia"/>
                <w:b/>
                <w:sz w:val="21"/>
                <w:szCs w:val="21"/>
                <w:u w:val="single"/>
              </w:rPr>
              <w:t>企业运行过程所需的知识从内部来源获取的有：公司生产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320" w:lineRule="exact"/>
              <w:rPr>
                <w:rFonts w:ascii="宋体" w:hAnsi="宋体" w:eastAsia="宋体" w:cs="Times New Roman"/>
                <w:b/>
                <w:color w:val="000000" w:themeColor="text1"/>
                <w:kern w:val="2"/>
                <w:sz w:val="21"/>
                <w:szCs w:val="21"/>
                <w:lang w:val="en-US" w:eastAsia="zh-CN" w:bidi="ar-SA"/>
              </w:rPr>
            </w:pPr>
            <w:r>
              <w:rPr>
                <w:rFonts w:hint="eastAsia"/>
                <w:b/>
                <w:sz w:val="21"/>
                <w:szCs w:val="21"/>
                <w:u w:val="single"/>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32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职业健康安全设施：</w:t>
            </w:r>
          </w:p>
          <w:p>
            <w:pPr>
              <w:spacing w:line="320" w:lineRule="exact"/>
              <w:rPr>
                <w:rFonts w:cs="Times New Roman" w:asciiTheme="minorEastAsia" w:hAnsiTheme="minorEastAsia" w:eastAsiaTheme="minorEastAsia"/>
                <w:b/>
                <w:color w:val="FF0000"/>
                <w:kern w:val="2"/>
                <w:sz w:val="21"/>
                <w:szCs w:val="21"/>
                <w:lang w:val="en-US" w:eastAsia="zh-CN" w:bidi="ar-SA"/>
              </w:rPr>
            </w:pPr>
            <w:r>
              <w:rPr>
                <w:rFonts w:hint="eastAsia"/>
                <w:b/>
                <w:sz w:val="21"/>
                <w:szCs w:val="21"/>
                <w:u w:val="single"/>
              </w:rPr>
              <w:t>仓库、行政部有消防栓、灭火器；车间有布袋吸尘器等。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2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1. 针对方针的管理职责评审</w:t>
            </w:r>
          </w:p>
          <w:p>
            <w:pPr>
              <w:spacing w:line="320" w:lineRule="exact"/>
              <w:ind w:left="1"/>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（包括针对组织宗旨，制定相关管理方针政策、确保方针为员工理解并在运营中实施，监视方针的实施并评审方针的适宜性）</w:t>
            </w:r>
          </w:p>
          <w:p>
            <w:pPr>
              <w:spacing w:line="320" w:lineRule="exact"/>
              <w:ind w:left="1" w:leftChars="0"/>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
                <w:sz w:val="21"/>
                <w:szCs w:val="21"/>
                <w:u w:val="single"/>
              </w:rPr>
              <w:t>根据组织宗旨制定了管理体系方针，进行了有效沟通，在管理评审时进行评审，</w:t>
            </w:r>
            <w:r>
              <w:rPr>
                <w:rFonts w:asciiTheme="minorEastAsia" w:hAnsiTheme="minorEastAsia" w:eastAsiaTheme="minorEastAsia"/>
                <w:b/>
                <w:sz w:val="21"/>
                <w:szCs w:val="21"/>
                <w:u w:val="single"/>
              </w:rPr>
              <w:t>符合要求</w:t>
            </w:r>
            <w:r>
              <w:rPr>
                <w:rFonts w:hint="eastAsia" w:asciiTheme="minorEastAsia" w:hAnsiTheme="minorEastAsia" w:eastAsiaTheme="minorEastAsia"/>
                <w:b/>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ind w:left="159" w:hanging="167" w:hangingChars="79"/>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2. 组织内部沟通的充分性与效果；（OHSMS员工参与风险管理/健康安全事务的关心和影响力；组织对外联络关注顾客的感受情况、</w:t>
            </w:r>
            <w:r>
              <w:rPr>
                <w:rFonts w:asciiTheme="minorEastAsia" w:hAnsiTheme="minorEastAsia" w:eastAsiaTheme="minorEastAsia"/>
                <w:b/>
                <w:color w:val="000000" w:themeColor="text1"/>
                <w:sz w:val="21"/>
                <w:szCs w:val="21"/>
              </w:rPr>
              <w:t>信息交流</w:t>
            </w:r>
            <w:r>
              <w:rPr>
                <w:rFonts w:hint="eastAsia" w:asciiTheme="minorEastAsia" w:hAnsiTheme="minorEastAsia" w:eastAsiaTheme="minorEastAsia"/>
                <w:b/>
                <w:color w:val="000000" w:themeColor="text1"/>
                <w:sz w:val="21"/>
                <w:szCs w:val="21"/>
              </w:rPr>
              <w:t>包括通报相关方的情况等）</w:t>
            </w:r>
          </w:p>
          <w:p>
            <w:pPr>
              <w:spacing w:line="320" w:lineRule="exact"/>
              <w:rPr>
                <w:rFonts w:asciiTheme="minorEastAsia" w:hAnsiTheme="minorEastAsia" w:eastAsiaTheme="minorEastAsia"/>
                <w:b/>
                <w:color w:val="000000" w:themeColor="text1"/>
                <w:sz w:val="21"/>
                <w:szCs w:val="21"/>
              </w:rPr>
            </w:pPr>
          </w:p>
          <w:p>
            <w:pPr>
              <w:spacing w:line="32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内部沟通的情况：内部沟通方式：</w:t>
            </w:r>
            <w:r>
              <w:rPr>
                <w:rFonts w:hint="eastAsia" w:asciiTheme="minorEastAsia" w:hAnsiTheme="minorEastAsia" w:eastAsiaTheme="minorEastAsia"/>
                <w:b/>
                <w:sz w:val="21"/>
                <w:szCs w:val="21"/>
                <w:u w:val="single"/>
              </w:rPr>
              <w:t>培训、会议、宣传栏；</w:t>
            </w:r>
          </w:p>
          <w:p>
            <w:pPr>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color w:val="000000" w:themeColor="text1"/>
                <w:sz w:val="21"/>
                <w:szCs w:val="21"/>
              </w:rPr>
              <w:t xml:space="preserve">                内部沟通的效果：</w:t>
            </w:r>
            <w:r>
              <w:rPr>
                <w:rFonts w:hint="eastAsia" w:asciiTheme="minorEastAsia" w:hAnsiTheme="minorEastAsia" w:eastAsiaTheme="minorEastAsia"/>
                <w:b/>
                <w:sz w:val="21"/>
                <w:szCs w:val="21"/>
                <w:u w:val="single"/>
              </w:rPr>
              <w:t>沟通畅通；</w:t>
            </w:r>
          </w:p>
          <w:p>
            <w:pPr>
              <w:spacing w:line="320" w:lineRule="exact"/>
              <w:rPr>
                <w:rFonts w:asciiTheme="minorEastAsia" w:hAnsiTheme="minorEastAsia" w:eastAsiaTheme="minorEastAsia"/>
                <w:b/>
                <w:color w:val="000000" w:themeColor="text1"/>
                <w:sz w:val="21"/>
                <w:szCs w:val="21"/>
              </w:rPr>
            </w:pPr>
          </w:p>
          <w:p>
            <w:pPr>
              <w:spacing w:line="32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组织对外联络，关注顾客的感受情况（QMS）</w:t>
            </w:r>
            <w:r>
              <w:rPr>
                <w:rFonts w:hint="eastAsia" w:asciiTheme="minorEastAsia" w:hAnsiTheme="minorEastAsia" w:eastAsiaTheme="minorEastAsia"/>
                <w:b/>
                <w:sz w:val="21"/>
                <w:szCs w:val="21"/>
                <w:u w:val="single"/>
              </w:rPr>
              <w:t>。</w:t>
            </w:r>
          </w:p>
          <w:p>
            <w:pPr>
              <w:spacing w:line="320" w:lineRule="exact"/>
              <w:rPr>
                <w:rFonts w:asciiTheme="minorEastAsia" w:hAnsiTheme="minorEastAsia" w:eastAsiaTheme="minorEastAsia"/>
                <w:b/>
                <w:color w:val="000000" w:themeColor="text1"/>
                <w:sz w:val="21"/>
                <w:szCs w:val="21"/>
              </w:rPr>
            </w:pPr>
          </w:p>
          <w:p>
            <w:pPr>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color w:val="000000" w:themeColor="text1"/>
                <w:sz w:val="21"/>
                <w:szCs w:val="21"/>
              </w:rPr>
              <w:t>外部信息的接收、成文并答复的情况（E、S填写）：</w:t>
            </w:r>
            <w:r>
              <w:rPr>
                <w:rFonts w:hint="eastAsia" w:asciiTheme="minorEastAsia" w:hAnsiTheme="minorEastAsia" w:eastAsiaTheme="minorEastAsia"/>
                <w:b/>
                <w:sz w:val="21"/>
                <w:szCs w:val="21"/>
                <w:u w:val="single"/>
              </w:rPr>
              <w:t>参加相关部门组织的会议，接收相关部门下达的通知并在公司内部沟通传达。</w:t>
            </w:r>
          </w:p>
          <w:p>
            <w:pPr>
              <w:spacing w:line="320" w:lineRule="exact"/>
              <w:rPr>
                <w:rFonts w:asciiTheme="minorEastAsia" w:hAnsiTheme="minorEastAsia" w:eastAsiaTheme="minorEastAsia"/>
                <w:b/>
                <w:color w:val="000000" w:themeColor="text1"/>
                <w:sz w:val="21"/>
                <w:szCs w:val="21"/>
              </w:rPr>
            </w:pPr>
          </w:p>
          <w:p>
            <w:pPr>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color w:val="000000" w:themeColor="text1"/>
                <w:sz w:val="21"/>
                <w:szCs w:val="21"/>
              </w:rPr>
              <w:t>重要环境因素信息对外交流情况（EMS填写）：</w:t>
            </w:r>
            <w:r>
              <w:rPr>
                <w:rFonts w:hint="eastAsia" w:asciiTheme="minorEastAsia" w:hAnsiTheme="minorEastAsia" w:eastAsiaTheme="minorEastAsia"/>
                <w:b/>
                <w:sz w:val="21"/>
                <w:szCs w:val="21"/>
                <w:u w:val="single"/>
              </w:rPr>
              <w:t>对相关方进行环保告知。</w:t>
            </w:r>
          </w:p>
          <w:p>
            <w:pPr>
              <w:spacing w:line="320" w:lineRule="exact"/>
              <w:rPr>
                <w:rFonts w:asciiTheme="minorEastAsia" w:hAnsiTheme="minorEastAsia" w:eastAsiaTheme="minorEastAsia"/>
                <w:b/>
                <w:sz w:val="21"/>
                <w:szCs w:val="21"/>
                <w:u w:val="single"/>
              </w:rPr>
            </w:pPr>
          </w:p>
          <w:p>
            <w:pPr>
              <w:tabs>
                <w:tab w:val="left" w:pos="9720"/>
                <w:tab w:val="left" w:pos="9900"/>
              </w:tabs>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color w:val="000000" w:themeColor="text1"/>
                <w:sz w:val="21"/>
                <w:szCs w:val="21"/>
              </w:rPr>
              <w:t>OHSMS事务代表协商和交流的情况（OHSMS填写）：</w:t>
            </w:r>
            <w:r>
              <w:rPr>
                <w:rFonts w:hint="eastAsia" w:asciiTheme="minorEastAsia" w:hAnsiTheme="minorEastAsia" w:eastAsiaTheme="minorEastAsia"/>
                <w:b/>
                <w:sz w:val="21"/>
                <w:szCs w:val="21"/>
                <w:u w:val="single"/>
              </w:rPr>
              <w:t>公司经选举确定告诉员工代表是伏凯，</w:t>
            </w:r>
          </w:p>
          <w:p>
            <w:pPr>
              <w:spacing w:line="320" w:lineRule="exact"/>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20" w:lineRule="exact"/>
              <w:rPr>
                <w:rFonts w:asciiTheme="minorEastAsia" w:hAnsiTheme="minorEastAsia" w:eastAsiaTheme="minorEastAsia"/>
                <w:b/>
                <w:color w:val="000000" w:themeColor="text1"/>
                <w:sz w:val="21"/>
                <w:szCs w:val="21"/>
              </w:rPr>
            </w:pPr>
          </w:p>
          <w:p>
            <w:pPr>
              <w:spacing w:line="320" w:lineRule="exact"/>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
                <w:color w:val="000000" w:themeColor="text1"/>
                <w:sz w:val="21"/>
                <w:szCs w:val="21"/>
              </w:rPr>
              <w:t>与相关方协商的情况（OHSMS填写）：</w:t>
            </w:r>
            <w:r>
              <w:rPr>
                <w:rFonts w:hint="eastAsia" w:asciiTheme="minorEastAsia" w:hAnsiTheme="minorEastAsia" w:eastAsiaTheme="minorEastAsia"/>
                <w:b/>
                <w:sz w:val="21"/>
                <w:szCs w:val="21"/>
                <w:u w:val="single"/>
              </w:rPr>
              <w:t>对相关方进行安全告知。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/□50430组织对重要过程实施控制的结果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/□50430产品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/□50430国家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color w:val="000000" w:themeColor="text1"/>
                <w:sz w:val="21"/>
                <w:szCs w:val="21"/>
              </w:rPr>
            </w:pPr>
            <w:r>
              <w:rPr>
                <w:rFonts w:hint="eastAsia"/>
                <w:b/>
                <w:color w:val="000000" w:themeColor="text1"/>
                <w:sz w:val="21"/>
                <w:szCs w:val="21"/>
              </w:rPr>
              <w:t>7. EMS组织对重要环境因素实施控制的结果</w:t>
            </w:r>
          </w:p>
          <w:p>
            <w:pPr>
              <w:spacing w:line="32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1、废水管控：企业无工业废水，厂区生活废水流入市政管网。</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2、废气管控：</w:t>
            </w:r>
            <w:r>
              <w:rPr>
                <w:rFonts w:hint="eastAsia" w:asciiTheme="minorEastAsia" w:hAnsiTheme="minorEastAsia" w:eastAsiaTheme="minorEastAsia"/>
                <w:b/>
                <w:sz w:val="21"/>
                <w:szCs w:val="21"/>
                <w:u w:val="single"/>
                <w:lang w:val="en-US" w:eastAsia="zh-CN"/>
              </w:rPr>
              <w:t>达标</w:t>
            </w:r>
            <w:r>
              <w:rPr>
                <w:rFonts w:hint="eastAsia" w:asciiTheme="minorEastAsia" w:hAnsiTheme="minorEastAsia" w:eastAsiaTheme="minorEastAsia"/>
                <w:b/>
                <w:sz w:val="21"/>
                <w:szCs w:val="21"/>
                <w:u w:val="single"/>
              </w:rPr>
              <w:t>排放。</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3、噪声管控：</w:t>
            </w:r>
            <w:r>
              <w:rPr>
                <w:rFonts w:hint="eastAsia" w:asciiTheme="minorEastAsia" w:hAnsiTheme="minorEastAsia" w:eastAsiaTheme="minorEastAsia"/>
                <w:b/>
                <w:sz w:val="21"/>
                <w:szCs w:val="21"/>
                <w:u w:val="single"/>
                <w:lang w:val="en-US" w:eastAsia="zh-CN"/>
              </w:rPr>
              <w:t>达标</w:t>
            </w:r>
            <w:r>
              <w:rPr>
                <w:rFonts w:hint="eastAsia" w:asciiTheme="minorEastAsia" w:hAnsiTheme="minorEastAsia" w:eastAsiaTheme="minorEastAsia"/>
                <w:b/>
                <w:sz w:val="21"/>
                <w:szCs w:val="21"/>
                <w:u w:val="single"/>
              </w:rPr>
              <w:t>排放。</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4、固废管控：办公废旧硒鼓/墨盒，由供应商回收。生活垃圾由当地环卫所处理，公司缴纳处理费。</w:t>
            </w:r>
          </w:p>
          <w:p>
            <w:pPr>
              <w:numPr>
                <w:ilvl w:val="0"/>
                <w:numId w:val="4"/>
              </w:num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能源资源管控：</w:t>
            </w:r>
          </w:p>
          <w:p>
            <w:pPr>
              <w:spacing w:line="320" w:lineRule="exact"/>
              <w:ind w:firstLine="422" w:firstLineChars="200"/>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生产过程注意节水、节电，人走关闭设备和照明开关，现场未发现有漏水和浪费电能的现象。</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6、产品生命周期的环境管控：</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公司采购产品时已考虑了产品的环保性（包括其包装），严格按照环保等管理制度实施，控制好辅助材料的用量，避免浪费，生命周期终了时废旧材料还可以回收再利用。</w:t>
            </w:r>
          </w:p>
          <w:p>
            <w:pPr>
              <w:spacing w:line="32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
                <w:sz w:val="21"/>
                <w:szCs w:val="21"/>
                <w:u w:val="single"/>
              </w:rPr>
              <w:t>7、对相关方进行了环保要求告知。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color w:val="000000" w:themeColor="text1"/>
                <w:sz w:val="21"/>
                <w:szCs w:val="21"/>
              </w:rPr>
            </w:pPr>
            <w:r>
              <w:rPr>
                <w:rFonts w:hint="eastAsia"/>
                <w:b/>
                <w:color w:val="000000" w:themeColor="text1"/>
                <w:sz w:val="21"/>
                <w:szCs w:val="21"/>
              </w:rPr>
              <w:t>8. OHS 组织对不可接受风险实施控制的结果</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1、潜在火灾管控：</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公司开发和办公区域配备了灭火器，均符合要求。</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2、安全防护：</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公司给员工发放手套、口罩、工作服等劳保用品，现场电线布线合理，漏电保护器状态良好。</w:t>
            </w:r>
          </w:p>
          <w:p>
            <w:pPr>
              <w:spacing w:line="320" w:lineRule="exact"/>
              <w:ind w:firstLine="422" w:firstLineChars="200"/>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3、为主要长期员工上社保、工伤保险。</w:t>
            </w:r>
          </w:p>
          <w:p>
            <w:pPr>
              <w:spacing w:line="320" w:lineRule="exact"/>
              <w:ind w:firstLine="421"/>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4、为环境和职业健康安全管理体系运行提供了财务支持。</w:t>
            </w:r>
          </w:p>
          <w:p>
            <w:pPr>
              <w:spacing w:line="32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
                <w:sz w:val="21"/>
                <w:szCs w:val="21"/>
                <w:u w:val="single"/>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tabs>
                <w:tab w:val="left" w:pos="6597"/>
              </w:tabs>
              <w:spacing w:line="320" w:lineRule="exact"/>
              <w:ind w:firstLine="422" w:firstLineChars="200"/>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编制了《应急准备和响应控制程序》，确定的紧急情况有：火灾、触电、人身伤害等。提供了应急预案，其中包括目的、适用范围、职责、应急处理细则、演习、必备资料等，相关内容基本充分。</w:t>
            </w:r>
          </w:p>
          <w:p>
            <w:pPr>
              <w:tabs>
                <w:tab w:val="left" w:pos="6597"/>
              </w:tabs>
              <w:spacing w:line="320" w:lineRule="exact"/>
              <w:ind w:firstLine="422" w:firstLineChars="200"/>
              <w:rPr>
                <w:rFonts w:asciiTheme="minorEastAsia" w:hAnsiTheme="minorEastAsia" w:eastAsiaTheme="minorEastAsia"/>
                <w:b/>
                <w:sz w:val="21"/>
                <w:szCs w:val="21"/>
                <w:u w:val="single"/>
              </w:rPr>
            </w:pPr>
            <w:r>
              <w:rPr>
                <w:rFonts w:hint="eastAsia" w:asciiTheme="minorEastAsia" w:hAnsiTheme="minorEastAsia" w:eastAsiaTheme="minorEastAsia"/>
                <w:b/>
                <w:sz w:val="21"/>
                <w:szCs w:val="21"/>
                <w:u w:val="single"/>
              </w:rPr>
              <w:t>应急设施配置：在办公场所内、仓库内均配备了灭火器等消防设施，状态良好。</w:t>
            </w:r>
          </w:p>
          <w:p>
            <w:pPr>
              <w:tabs>
                <w:tab w:val="left" w:pos="6597"/>
              </w:tabs>
              <w:spacing w:line="320" w:lineRule="exact"/>
              <w:ind w:firstLine="422" w:firstLineChars="200"/>
              <w:rPr>
                <w:rFonts w:ascii="Times New Roman" w:hAnsi="Times New Roman" w:eastAsia="宋体" w:cs="Times New Roman"/>
                <w:b/>
                <w:color w:val="000000" w:themeColor="text1"/>
                <w:spacing w:val="-4"/>
                <w:kern w:val="2"/>
                <w:sz w:val="21"/>
                <w:szCs w:val="21"/>
                <w:lang w:val="en-US" w:eastAsia="zh-CN" w:bidi="ar-SA"/>
              </w:rPr>
            </w:pPr>
            <w:r>
              <w:rPr>
                <w:rFonts w:hint="eastAsia" w:asciiTheme="minorEastAsia" w:hAnsiTheme="minorEastAsia" w:eastAsiaTheme="minorEastAsia"/>
                <w:b/>
                <w:sz w:val="21"/>
                <w:szCs w:val="21"/>
                <w:u w:val="single"/>
              </w:rPr>
              <w:t>查20</w:t>
            </w:r>
            <w:r>
              <w:rPr>
                <w:rFonts w:hint="eastAsia" w:asciiTheme="minorEastAsia" w:hAnsiTheme="minorEastAsia" w:eastAsiaTheme="minorEastAsia"/>
                <w:b/>
                <w:sz w:val="21"/>
                <w:szCs w:val="21"/>
                <w:u w:val="single"/>
                <w:lang w:val="en-US" w:eastAsia="zh-CN"/>
              </w:rPr>
              <w:t>20.8</w:t>
            </w:r>
            <w:r>
              <w:rPr>
                <w:rFonts w:hint="eastAsia" w:asciiTheme="minorEastAsia" w:hAnsiTheme="minorEastAsia" w:eastAsiaTheme="minorEastAsia"/>
                <w:b/>
                <w:sz w:val="21"/>
                <w:szCs w:val="21"/>
                <w:u w:val="single"/>
              </w:rPr>
              <w:t>.</w:t>
            </w:r>
            <w:r>
              <w:rPr>
                <w:rFonts w:hint="eastAsia" w:asciiTheme="minorEastAsia" w:hAnsiTheme="minorEastAsia" w:eastAsiaTheme="minorEastAsia"/>
                <w:b/>
                <w:sz w:val="21"/>
                <w:szCs w:val="21"/>
                <w:u w:val="single"/>
                <w:lang w:val="en-US" w:eastAsia="zh-CN"/>
              </w:rPr>
              <w:t>12</w:t>
            </w:r>
            <w:r>
              <w:rPr>
                <w:rFonts w:hint="eastAsia" w:asciiTheme="minorEastAsia" w:hAnsiTheme="minorEastAsia" w:eastAsiaTheme="minorEastAsia"/>
                <w:b/>
                <w:sz w:val="21"/>
                <w:szCs w:val="21"/>
                <w:u w:val="single"/>
              </w:rPr>
              <w:t>日的《火灾应急预案演练记录》，参加人员各岗位人员；记录演练过程、急救措施等内容。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tabs>
                <w:tab w:val="left" w:pos="6597"/>
              </w:tabs>
              <w:spacing w:line="320" w:lineRule="exact"/>
              <w:ind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20" w:lineRule="exact"/>
              <w:rPr>
                <w:b/>
                <w:sz w:val="21"/>
                <w:szCs w:val="21"/>
              </w:rPr>
            </w:pPr>
            <w:r>
              <w:rPr>
                <w:rFonts w:hint="eastAsia"/>
                <w:b/>
                <w:color w:val="000000" w:themeColor="text1"/>
                <w:sz w:val="21"/>
                <w:szCs w:val="21"/>
              </w:rPr>
              <w:t>11 .对危险化学品销售、使用、储存、运输处置，规定的执行力度(必要时);</w:t>
            </w:r>
            <w:r>
              <w:rPr>
                <w:rFonts w:hint="eastAsia"/>
                <w:b/>
                <w:sz w:val="21"/>
                <w:szCs w:val="21"/>
              </w:rPr>
              <w:t>（适用时）</w:t>
            </w:r>
          </w:p>
          <w:p>
            <w:pPr>
              <w:spacing w:line="320" w:lineRule="exact"/>
              <w:ind w:firstLine="422" w:firstLineChars="200"/>
              <w:rPr>
                <w:rFonts w:ascii="Times New Roman" w:hAnsi="Times New Roman" w:eastAsia="宋体" w:cs="Times New Roman"/>
                <w:b/>
                <w:color w:val="000000" w:themeColor="text1"/>
                <w:kern w:val="2"/>
                <w:sz w:val="21"/>
                <w:szCs w:val="21"/>
                <w:u w:val="single"/>
                <w:lang w:val="en-US" w:eastAsia="zh-CN" w:bidi="ar-SA"/>
              </w:rPr>
            </w:pPr>
            <w:r>
              <w:rPr>
                <w:rFonts w:hint="eastAsia" w:asciiTheme="minorEastAsia" w:hAnsiTheme="minorEastAsia" w:eastAsiaTheme="minorEastAsia"/>
                <w:b/>
                <w:sz w:val="21"/>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b/>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b/>
                <w:sz w:val="21"/>
                <w:szCs w:val="21"/>
                <w:lang w:val="en-US" w:eastAsia="zh-CN"/>
              </w:rPr>
              <w:t>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-1</w:t>
            </w:r>
            <w:r>
              <w:rPr>
                <w:rFonts w:hint="eastAsia" w:ascii="宋体" w:hAnsi="宋体"/>
                <w:b/>
                <w:sz w:val="21"/>
                <w:szCs w:val="21"/>
                <w:lang w:val="en-US" w:eastAsia="zh-CN"/>
              </w:rPr>
              <w:t>1</w:t>
            </w:r>
            <w:r>
              <w:rPr>
                <w:rFonts w:hint="eastAsia" w:ascii="宋体" w:hAnsi="宋体"/>
                <w:b/>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ind w:left="105" w:hanging="105" w:hangingChars="50"/>
              <w:rPr>
                <w:rFonts w:hint="default"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3. 内审（包括内审策划审核方案中考虑拟审核的过程和区域的状况和重要性）</w:t>
            </w:r>
          </w:p>
          <w:p>
            <w:pPr>
              <w:spacing w:line="240" w:lineRule="exact"/>
              <w:rPr>
                <w:rFonts w:ascii="宋体" w:hAnsi="宋体" w:eastAsia="宋体" w:cs="Times New Roman"/>
                <w:b/>
                <w:kern w:val="2"/>
                <w:sz w:val="21"/>
                <w:szCs w:val="21"/>
                <w:highlight w:val="none"/>
                <w:lang w:val="en-US" w:eastAsia="zh-CN" w:bidi="ar-SA"/>
              </w:rPr>
            </w:pPr>
            <w:r>
              <w:rPr>
                <w:rFonts w:hint="eastAsia" w:ascii="宋体" w:hAnsi="宋体"/>
                <w:sz w:val="21"/>
                <w:szCs w:val="21"/>
                <w:highlight w:val="none"/>
              </w:rPr>
              <w:t>建立有《内部审核控制程序》，规定了内审频次一年一次，内审时间：</w:t>
            </w:r>
            <w:r>
              <w:rPr>
                <w:rFonts w:hint="eastAsia" w:ascii="宋体" w:hAnsi="宋体"/>
                <w:sz w:val="21"/>
                <w:szCs w:val="21"/>
                <w:highlight w:val="none"/>
                <w:lang w:val="en-US" w:eastAsia="zh-CN"/>
              </w:rPr>
              <w:t>2020年11月24日 （去年内审时间为2019年10月14日，因疫情原因和体系换版，时间延后）</w:t>
            </w:r>
            <w:r>
              <w:rPr>
                <w:rFonts w:hint="eastAsia" w:ascii="宋体" w:hAnsi="宋体"/>
                <w:sz w:val="21"/>
                <w:szCs w:val="21"/>
                <w:highlight w:val="none"/>
              </w:rPr>
              <w:t>，拟定了审核实施表，明确了内审范围，内审人员经培训合格上岗，能力满足要求，未出现审核本部门情况，内审不符合项1项，</w:t>
            </w:r>
            <w:r>
              <w:rPr>
                <w:rFonts w:hint="eastAsia" w:ascii="宋体" w:hAnsi="宋体" w:cs="宋体"/>
                <w:sz w:val="21"/>
                <w:szCs w:val="21"/>
                <w:highlight w:val="none"/>
              </w:rPr>
              <w:t>涉及</w:t>
            </w:r>
            <w:r>
              <w:rPr>
                <w:rFonts w:hint="eastAsia" w:ascii="宋体" w:hAnsi="宋体" w:cs="宋体"/>
                <w:sz w:val="21"/>
                <w:szCs w:val="21"/>
                <w:highlight w:val="none"/>
                <w:lang w:eastAsia="zh-CN"/>
              </w:rPr>
              <w:t>行政部</w:t>
            </w:r>
            <w:r>
              <w:rPr>
                <w:rFonts w:hint="eastAsia" w:ascii="宋体" w:hAnsi="宋体" w:cs="宋体"/>
                <w:sz w:val="21"/>
                <w:szCs w:val="21"/>
                <w:highlight w:val="none"/>
              </w:rPr>
              <w:t>E/S</w:t>
            </w:r>
            <w:r>
              <w:rPr>
                <w:rFonts w:hint="eastAsia" w:ascii="宋体" w:hAnsi="宋体" w:cs="宋体"/>
                <w:sz w:val="21"/>
                <w:szCs w:val="21"/>
                <w:highlight w:val="none"/>
                <w:lang w:val="en-US" w:eastAsia="zh-CN"/>
              </w:rPr>
              <w:t>7.5</w:t>
            </w:r>
            <w:r>
              <w:rPr>
                <w:rFonts w:hint="eastAsia" w:ascii="宋体" w:hAnsi="宋体" w:cs="宋体"/>
                <w:sz w:val="21"/>
                <w:szCs w:val="21"/>
                <w:highlight w:val="none"/>
              </w:rPr>
              <w:t>条款审核</w:t>
            </w:r>
            <w:r>
              <w:rPr>
                <w:rFonts w:hint="eastAsia" w:ascii="宋体" w:hAnsi="宋体" w:cs="宋体"/>
                <w:sz w:val="21"/>
                <w:szCs w:val="21"/>
                <w:highlight w:val="none"/>
                <w:lang w:eastAsia="zh-CN"/>
              </w:rPr>
              <w:t>中《中华人民共和国消防法》</w:t>
            </w:r>
            <w:r>
              <w:rPr>
                <w:rFonts w:hint="eastAsia" w:ascii="宋体" w:hAnsi="宋体" w:cs="宋体"/>
                <w:sz w:val="21"/>
                <w:szCs w:val="21"/>
                <w:highlight w:val="none"/>
                <w:lang w:val="en-US" w:eastAsia="zh-CN"/>
              </w:rPr>
              <w:t>未更新</w:t>
            </w:r>
            <w:r>
              <w:rPr>
                <w:rFonts w:hint="eastAsia" w:ascii="宋体" w:hAnsi="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4.管理评审（管理评审体系变更需求，纠正和预防措施、体系有效性等）</w:t>
            </w:r>
          </w:p>
          <w:p>
            <w:pPr>
              <w:spacing w:line="240" w:lineRule="exact"/>
              <w:rPr>
                <w:rFonts w:ascii="宋体" w:hAnsi="宋体" w:eastAsia="宋体" w:cs="Times New Roman"/>
                <w:b/>
                <w:kern w:val="2"/>
                <w:sz w:val="21"/>
                <w:szCs w:val="21"/>
                <w:highlight w:val="none"/>
                <w:lang w:val="en-US" w:eastAsia="zh-CN" w:bidi="ar-SA"/>
              </w:rPr>
            </w:pPr>
            <w:r>
              <w:rPr>
                <w:rFonts w:hint="eastAsia" w:ascii="宋体" w:hAnsi="宋体" w:cs="宋体"/>
                <w:sz w:val="21"/>
                <w:szCs w:val="21"/>
                <w:highlight w:val="none"/>
              </w:rPr>
              <w:t>管理评审频次为一年一次、本次管理评审于</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r>
              <w:rPr>
                <w:rFonts w:hint="eastAsia" w:ascii="宋体" w:hAnsi="宋体"/>
                <w:sz w:val="21"/>
                <w:szCs w:val="21"/>
                <w:highlight w:val="none"/>
                <w:lang w:val="en-US" w:eastAsia="zh-CN"/>
              </w:rPr>
              <w:t>8</w:t>
            </w:r>
            <w:r>
              <w:rPr>
                <w:rFonts w:hint="eastAsia" w:ascii="宋体" w:hAnsi="宋体"/>
                <w:sz w:val="21"/>
                <w:szCs w:val="21"/>
                <w:highlight w:val="none"/>
              </w:rPr>
              <w:t>日</w:t>
            </w:r>
            <w:r>
              <w:rPr>
                <w:rFonts w:hint="eastAsia" w:ascii="宋体" w:hAnsi="宋体"/>
                <w:sz w:val="21"/>
                <w:szCs w:val="21"/>
                <w:highlight w:val="none"/>
                <w:lang w:val="en-US" w:eastAsia="zh-CN"/>
              </w:rPr>
              <w:t xml:space="preserve"> （去年管理评审时间为2019年11月8日，因疫情原因和体系换版，时间延后）</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5.  EMS是否按规定对主要污染物（污水、废气、噪声、废渣等）及排放实施了例行的监视或测量，结果是否满足相关要求？</w:t>
            </w:r>
          </w:p>
          <w:p>
            <w:pPr>
              <w:spacing w:line="240" w:lineRule="exact"/>
              <w:ind w:firstLine="210" w:firstLineChars="100"/>
              <w:rPr>
                <w:rFonts w:ascii="宋体" w:hAnsi="宋体" w:eastAsia="宋体" w:cs="Times New Roman"/>
                <w:b/>
                <w:kern w:val="2"/>
                <w:sz w:val="21"/>
                <w:szCs w:val="21"/>
                <w:highlight w:val="none"/>
                <w:lang w:val="en-US" w:eastAsia="zh-CN" w:bidi="ar-SA"/>
              </w:rPr>
            </w:pPr>
            <w:r>
              <w:rPr>
                <w:rFonts w:hint="eastAsia" w:ascii="宋体" w:hAnsi="宋体"/>
                <w:sz w:val="21"/>
                <w:szCs w:val="21"/>
                <w:highlight w:val="none"/>
                <w:lang w:val="en-US" w:eastAsia="zh-CN"/>
              </w:rPr>
              <w:t>提供有索谱科技(成都)有限公司出具的检验检测报告，编号：SPKJ/BG-HJ-202011022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 xml:space="preserve">6.  </w:t>
            </w:r>
            <w:r>
              <w:rPr>
                <w:b/>
                <w:color w:val="000000" w:themeColor="text1"/>
                <w:sz w:val="21"/>
                <w:szCs w:val="21"/>
                <w:highlight w:val="none"/>
              </w:rPr>
              <w:t>EMS</w:t>
            </w:r>
            <w:r>
              <w:rPr>
                <w:rFonts w:hint="eastAsia"/>
                <w:b/>
                <w:color w:val="000000" w:themeColor="text1"/>
                <w:sz w:val="21"/>
                <w:szCs w:val="21"/>
                <w:highlight w:val="none"/>
              </w:rPr>
              <w:t xml:space="preserve">国家/地方环保部门监测结果、新改扩建项目符合环评报告、三同时验收报告要求情况及措施 </w:t>
            </w:r>
          </w:p>
          <w:p>
            <w:pPr>
              <w:spacing w:line="400" w:lineRule="exact"/>
              <w:rPr>
                <w:rFonts w:ascii="宋体" w:hAnsi="宋体" w:eastAsia="宋体" w:cs="Times New Roman"/>
                <w:b/>
                <w:kern w:val="2"/>
                <w:sz w:val="21"/>
                <w:szCs w:val="21"/>
                <w:highlight w:val="none"/>
                <w:lang w:val="en-US" w:eastAsia="zh-CN" w:bidi="ar-SA"/>
              </w:rPr>
            </w:pPr>
            <w:r>
              <w:rPr>
                <w:rFonts w:hint="eastAsia" w:ascii="宋体" w:hAnsi="宋体" w:cs="Times New Roman"/>
                <w:b/>
                <w:kern w:val="2"/>
                <w:sz w:val="21"/>
                <w:szCs w:val="21"/>
                <w:highlight w:val="none"/>
                <w:lang w:val="en-US" w:eastAsia="zh-CN" w:bidi="ar-SA"/>
              </w:rPr>
              <w:t>提供成都市青白江区生态环境局出具的《CPVC电缆保护管技术改造项目环境影响批复》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z w:val="21"/>
                <w:szCs w:val="21"/>
                <w:highlight w:val="none"/>
              </w:rPr>
            </w:pPr>
            <w:r>
              <w:rPr>
                <w:rFonts w:hint="eastAsia"/>
                <w:b/>
                <w:color w:val="000000" w:themeColor="text1"/>
                <w:sz w:val="21"/>
                <w:szCs w:val="21"/>
                <w:highlight w:val="none"/>
              </w:rPr>
              <w:t>7. OHSMS是否按规定对职业健康安全项目进行定期测量，结果是否满足相关要求：</w:t>
            </w:r>
          </w:p>
          <w:p>
            <w:pPr>
              <w:spacing w:line="240" w:lineRule="exact"/>
              <w:rPr>
                <w:rFonts w:ascii="宋体" w:hAnsi="宋体" w:eastAsia="宋体" w:cs="Times New Roman"/>
                <w:b/>
                <w:kern w:val="2"/>
                <w:sz w:val="21"/>
                <w:szCs w:val="21"/>
                <w:highlight w:val="none"/>
                <w:lang w:val="en-US" w:eastAsia="zh-CN" w:bidi="ar-SA"/>
              </w:rPr>
            </w:pPr>
            <w:r>
              <w:rPr>
                <w:rFonts w:hint="eastAsia"/>
                <w:sz w:val="21"/>
                <w:szCs w:val="21"/>
                <w:highlight w:val="none"/>
                <w:lang w:val="en-US" w:eastAsia="zh-CN"/>
              </w:rPr>
              <w:t>提供四川劳研科技有限公司出具检测报告，编号：川劳研(职检)字2020第CD206号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8.OHSMS国家/地方职业健康安全部门监督检查情况及措施</w:t>
            </w:r>
          </w:p>
          <w:p>
            <w:pPr>
              <w:spacing w:line="240" w:lineRule="exact"/>
              <w:rPr>
                <w:rFonts w:ascii="宋体" w:hAnsi="宋体" w:eastAsia="宋体" w:cs="Times New Roman"/>
                <w:b/>
                <w:kern w:val="2"/>
                <w:sz w:val="21"/>
                <w:szCs w:val="21"/>
                <w:highlight w:val="none"/>
                <w:lang w:val="en-US" w:eastAsia="zh-CN" w:bidi="ar-SA"/>
              </w:rPr>
            </w:pPr>
            <w:r>
              <w:rPr>
                <w:rFonts w:hint="eastAsia"/>
                <w:b/>
                <w:sz w:val="21"/>
                <w:szCs w:val="21"/>
                <w:highlight w:val="none"/>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sz w:val="21"/>
                <w:szCs w:val="21"/>
                <w:highlight w:val="none"/>
              </w:rPr>
            </w:pPr>
            <w:r>
              <w:rPr>
                <w:rFonts w:hint="eastAsia"/>
                <w:b/>
                <w:sz w:val="21"/>
                <w:szCs w:val="21"/>
                <w:highlight w:val="none"/>
              </w:rPr>
              <w:t>9. 其他能够标明组织绩效、信誉的证据/信息：</w:t>
            </w:r>
          </w:p>
          <w:p>
            <w:pPr>
              <w:widowControl/>
              <w:spacing w:line="240" w:lineRule="exact"/>
              <w:rPr>
                <w:rFonts w:ascii="宋体" w:hAnsi="宋体" w:eastAsia="宋体" w:cs="Times New Roman"/>
                <w:b/>
                <w:kern w:val="2"/>
                <w:sz w:val="21"/>
                <w:szCs w:val="21"/>
                <w:highlight w:val="none"/>
                <w:lang w:val="en-US" w:eastAsia="zh-CN" w:bidi="ar-SA"/>
              </w:rPr>
            </w:pPr>
            <w:r>
              <w:rPr>
                <w:rFonts w:hint="eastAsia"/>
                <w:b/>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120" w:leftChars="-50" w:firstLine="422" w:firstLineChars="200"/>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120" w:leftChars="-50" w:firstLine="420" w:firstLineChars="200"/>
              <w:rPr>
                <w:rFonts w:ascii="宋体" w:hAnsi="宋体" w:eastAsia="宋体" w:cs="Times New Roman"/>
                <w:b/>
                <w:kern w:val="2"/>
                <w:sz w:val="21"/>
                <w:szCs w:val="21"/>
                <w:lang w:val="en-US" w:eastAsia="zh-CN" w:bidi="ar-SA"/>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行政部ES8.2条款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ascii="宋体" w:hAnsi="宋体" w:eastAsia="宋体" w:cs="宋体"/>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 xml:space="preserve"> 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 xml:space="preserve">  </w:t>
      </w:r>
      <w:r>
        <w:rPr>
          <w:rFonts w:hint="eastAsia" w:ascii="宋体" w:hAnsi="宋体"/>
          <w:b/>
          <w:szCs w:val="21"/>
        </w:rPr>
        <w:t>项分布在</w:t>
      </w:r>
      <w:r>
        <w:rPr>
          <w:rFonts w:hint="eastAsia" w:ascii="宋体" w:hAnsi="宋体"/>
          <w:b/>
          <w:szCs w:val="21"/>
          <w:lang w:val="en-US" w:eastAsia="zh-CN"/>
        </w:rPr>
        <w:t xml:space="preserve">行政部 </w:t>
      </w:r>
      <w:r>
        <w:rPr>
          <w:rFonts w:hint="eastAsia" w:ascii="宋体" w:hAnsi="宋体"/>
          <w:b/>
          <w:szCs w:val="21"/>
        </w:rPr>
        <w:t>部门</w:t>
      </w:r>
      <w:r>
        <w:rPr>
          <w:rFonts w:hint="eastAsia" w:ascii="宋体" w:hAnsi="宋体"/>
          <w:b/>
          <w:szCs w:val="21"/>
          <w:lang w:val="en-US" w:eastAsia="zh-CN"/>
        </w:rPr>
        <w:t>S9.1</w:t>
      </w:r>
      <w:bookmarkStart w:id="27" w:name="_GoBack"/>
      <w:bookmarkEnd w:id="27"/>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0" w:leftChars="0" w:firstLine="241" w:firstLineChars="10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480" w:firstLineChars="200"/>
              <w:rPr>
                <w:rFonts w:ascii="宋体" w:hAnsi="宋体" w:eastAsia="宋体" w:cs="Times New Roman"/>
                <w:b/>
                <w:kern w:val="2"/>
                <w:sz w:val="24"/>
                <w:szCs w:val="21"/>
                <w:lang w:val="en-US" w:eastAsia="zh-CN" w:bidi="ar-SA"/>
              </w:rPr>
            </w:pPr>
            <w:r>
              <w:rPr>
                <w:rFonts w:hint="eastAsia" w:ascii="微软雅黑" w:hAnsi="微软雅黑" w:eastAsia="微软雅黑"/>
                <w:bCs/>
                <w:szCs w:val="24"/>
              </w:rPr>
              <w:t>综上所</w:t>
            </w:r>
            <w:r>
              <w:rPr>
                <w:rFonts w:hint="eastAsia" w:ascii="微软雅黑" w:hAnsi="微软雅黑" w:eastAsia="微软雅黑" w:cs="Times New Roman"/>
                <w:bCs/>
                <w:szCs w:val="24"/>
              </w:rPr>
              <w:t>述，审核组一致认为（成都脉通管业有限公司）的</w:t>
            </w:r>
            <w:r>
              <w:rPr>
                <w:rFonts w:hint="eastAsia" w:ascii="微软雅黑" w:hAnsi="微软雅黑" w:eastAsia="微软雅黑" w:cs="Times New Roman"/>
                <w:bCs/>
                <w:szCs w:val="24"/>
                <w:lang w:eastAsia="zh-CN"/>
              </w:rPr>
              <w:t>环境、职业健康安全</w:t>
            </w:r>
            <w:r>
              <w:rPr>
                <w:rFonts w:hint="eastAsia" w:ascii="微软雅黑" w:hAnsi="微软雅黑" w:eastAsia="微软雅黑" w:cs="Times New Roman"/>
                <w:bCs/>
                <w:szCs w:val="24"/>
              </w:rPr>
              <w:t>管理体系适宜、充分、得到良好的实施和保持，体系运行</w:t>
            </w:r>
            <w:r>
              <w:rPr>
                <w:rFonts w:hint="eastAsia" w:ascii="微软雅黑" w:hAnsi="微软雅黑" w:eastAsia="微软雅黑"/>
                <w:spacing w:val="14"/>
                <w:szCs w:val="24"/>
              </w:rPr>
              <w:t>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hint="eastAsia" w:ascii="宋体" w:hAnsi="宋体" w:eastAsia="宋体"/>
                <w:b/>
                <w:szCs w:val="21"/>
                <w:lang w:eastAsia="zh-CN"/>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rFonts w:ascii="Times New Roman" w:hAnsi="Times New Roman" w:eastAsia="宋体" w:cs="Times New Roman"/>
                <w:b/>
                <w:kern w:val="2"/>
                <w:sz w:val="26"/>
                <w:szCs w:val="26"/>
                <w:lang w:val="en-US" w:eastAsia="zh-CN" w:bidi="ar-SA"/>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1716405</wp:posOffset>
            </wp:positionH>
            <wp:positionV relativeFrom="paragraph">
              <wp:posOffset>84455</wp:posOffset>
            </wp:positionV>
            <wp:extent cx="433705" cy="441960"/>
            <wp:effectExtent l="0" t="0" r="8255" b="0"/>
            <wp:wrapSquare wrapText="bothSides"/>
            <wp:docPr id="1" name="图片 1"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老师电子签名"/>
                    <pic:cNvPicPr>
                      <a:picLocks noChangeAspect="1"/>
                    </pic:cNvPicPr>
                  </pic:nvPicPr>
                  <pic:blipFill>
                    <a:blip r:embed="rId6"/>
                    <a:stretch>
                      <a:fillRect/>
                    </a:stretch>
                  </pic:blipFill>
                  <pic:spPr>
                    <a:xfrm>
                      <a:off x="0" y="0"/>
                      <a:ext cx="433705" cy="44196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5" w:firstLineChars="250"/>
        <w:rPr>
          <w:b/>
          <w:sz w:val="21"/>
        </w:rPr>
      </w:pPr>
      <w:r>
        <w:rPr>
          <w:rFonts w:hint="eastAsia" w:eastAsia="宋体"/>
          <w:sz w:val="21"/>
          <w:szCs w:val="21"/>
          <w:lang w:eastAsia="zh-CN"/>
        </w:rPr>
        <w:drawing>
          <wp:anchor distT="0" distB="0" distL="114300" distR="114300" simplePos="0" relativeHeight="251674624" behindDoc="0" locked="0" layoutInCell="1" allowOverlap="1">
            <wp:simplePos x="0" y="0"/>
            <wp:positionH relativeFrom="column">
              <wp:posOffset>2458720</wp:posOffset>
            </wp:positionH>
            <wp:positionV relativeFrom="paragraph">
              <wp:posOffset>117475</wp:posOffset>
            </wp:positionV>
            <wp:extent cx="455295" cy="322580"/>
            <wp:effectExtent l="0" t="0" r="1905" b="1270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7"/>
                    <a:stretch>
                      <a:fillRect/>
                    </a:stretch>
                  </pic:blipFill>
                  <pic:spPr>
                    <a:xfrm>
                      <a:off x="0" y="0"/>
                      <a:ext cx="455295" cy="32258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7456" behindDoc="0" locked="0" layoutInCell="1" allowOverlap="1">
            <wp:simplePos x="0" y="0"/>
            <wp:positionH relativeFrom="column">
              <wp:posOffset>1626235</wp:posOffset>
            </wp:positionH>
            <wp:positionV relativeFrom="paragraph">
              <wp:posOffset>60325</wp:posOffset>
            </wp:positionV>
            <wp:extent cx="699135" cy="372110"/>
            <wp:effectExtent l="0" t="0" r="0" b="10160"/>
            <wp:wrapSquare wrapText="bothSides"/>
            <wp:docPr id="3" name="图片 3"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余家龙电子签名"/>
                    <pic:cNvPicPr>
                      <a:picLocks noChangeAspect="1"/>
                    </pic:cNvPicPr>
                  </pic:nvPicPr>
                  <pic:blipFill>
                    <a:blip r:embed="rId8"/>
                    <a:stretch>
                      <a:fillRect/>
                    </a:stretch>
                  </pic:blipFill>
                  <pic:spPr>
                    <a:xfrm>
                      <a:off x="0" y="0"/>
                      <a:ext cx="699135" cy="37211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2021.1.18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lang w:val="en-US" w:eastAsia="zh-CN"/>
        </w:rPr>
        <w:t xml:space="preserve">  </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4" w:firstLineChars="343"/>
        <w:rPr>
          <w:b/>
          <w:sz w:val="21"/>
          <w:szCs w:val="21"/>
          <w:u w:val="single"/>
        </w:rPr>
      </w:pPr>
      <w:r>
        <w:rPr>
          <w:rFonts w:hint="eastAsia" w:eastAsia="宋体"/>
          <w:sz w:val="22"/>
          <w:szCs w:val="22"/>
          <w:lang w:eastAsia="zh-CN"/>
        </w:rPr>
        <w:drawing>
          <wp:anchor distT="0" distB="0" distL="114300" distR="114300" simplePos="0" relativeHeight="251679744" behindDoc="1" locked="0" layoutInCell="1" allowOverlap="1">
            <wp:simplePos x="0" y="0"/>
            <wp:positionH relativeFrom="column">
              <wp:posOffset>1173480</wp:posOffset>
            </wp:positionH>
            <wp:positionV relativeFrom="paragraph">
              <wp:posOffset>20320</wp:posOffset>
            </wp:positionV>
            <wp:extent cx="433705" cy="441960"/>
            <wp:effectExtent l="0" t="0" r="8255" b="0"/>
            <wp:wrapNone/>
            <wp:docPr id="4" name="图片 4"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文老师电子签名"/>
                    <pic:cNvPicPr>
                      <a:picLocks noChangeAspect="1"/>
                    </pic:cNvPicPr>
                  </pic:nvPicPr>
                  <pic:blipFill>
                    <a:blip r:embed="rId6"/>
                    <a:stretch>
                      <a:fillRect/>
                    </a:stretch>
                  </pic:blipFill>
                  <pic:spPr>
                    <a:xfrm>
                      <a:off x="0" y="0"/>
                      <a:ext cx="433705" cy="441960"/>
                    </a:xfrm>
                    <a:prstGeom prst="rect">
                      <a:avLst/>
                    </a:prstGeom>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9D2F20"/>
    <w:multiLevelType w:val="singleLevel"/>
    <w:tmpl w:val="E89D2F20"/>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231C104D"/>
    <w:multiLevelType w:val="multilevel"/>
    <w:tmpl w:val="231C104D"/>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095"/>
        </w:tabs>
        <w:ind w:left="1095" w:hanging="36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33638A8C"/>
    <w:multiLevelType w:val="singleLevel"/>
    <w:tmpl w:val="33638A8C"/>
    <w:lvl w:ilvl="0" w:tentative="0">
      <w:start w:val="5"/>
      <w:numFmt w:val="decimal"/>
      <w:suff w:val="nothing"/>
      <w:lvlText w:val="%1、"/>
      <w:lvlJc w:val="left"/>
    </w:lvl>
  </w:abstractNum>
  <w:abstractNum w:abstractNumId="4">
    <w:nsid w:val="4E957357"/>
    <w:multiLevelType w:val="multilevel"/>
    <w:tmpl w:val="4E957357"/>
    <w:lvl w:ilvl="0" w:tentative="0">
      <w:start w:val="1"/>
      <w:numFmt w:val="decimal"/>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89082F"/>
    <w:rsid w:val="48BA3752"/>
    <w:rsid w:val="6C0C23F3"/>
    <w:rsid w:val="7DDA01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2021-01-19T07:43:38Z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