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428"/>
        <w:gridCol w:w="1573"/>
        <w:gridCol w:w="2000"/>
        <w:gridCol w:w="1160"/>
        <w:gridCol w:w="226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001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北京资通汇鑫企业管理咨询有限公司</w:t>
            </w:r>
            <w:bookmarkEnd w:id="4"/>
          </w:p>
        </w:tc>
        <w:tc>
          <w:tcPr>
            <w:tcW w:w="116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263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Q：35.10.00;35.11.00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E：35.10.00;35.11.00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O：35.10.00;35.11.00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42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李蒙生</w:t>
            </w:r>
          </w:p>
        </w:tc>
        <w:tc>
          <w:tcPr>
            <w:tcW w:w="157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00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Q：35.10.00;35.11.00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E：35.10.00;35.11.00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O：35.10.00;35.11.00</w:t>
            </w:r>
          </w:p>
        </w:tc>
        <w:tc>
          <w:tcPr>
            <w:tcW w:w="11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2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42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夏楠楠</w:t>
            </w:r>
          </w:p>
        </w:tc>
        <w:tc>
          <w:tcPr>
            <w:tcW w:w="157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6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26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42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57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6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26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劳务派遣流程：客户接触----合同评审----签订合同-----客户付款----外派相关人员----客户验收---后续服务</w:t>
            </w:r>
          </w:p>
          <w:p>
            <w:pPr>
              <w:snapToGrid w:val="0"/>
              <w:spacing w:line="280" w:lineRule="exact"/>
              <w:rPr>
                <w:rFonts w:hint="eastAsia" w:ascii="Arial" w:hAnsi="Arial" w:cs="Arial"/>
                <w:kern w:val="0"/>
                <w:szCs w:val="21"/>
              </w:rPr>
            </w:pPr>
            <w:r>
              <w:rPr>
                <w:rFonts w:hint="eastAsia"/>
              </w:rPr>
              <w:t>人力资源服务流程：客户沟通---合同评审---签订合同---客户付款---相关人员招聘---客户验收---后续服务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  <w:t>沟通不畅风险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，制定《与顾客有关的过程控制程序》、《顾客满意管理程序》</w:t>
            </w: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  <w:t>加强沟通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  <w:t>客户回访等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。</w:t>
            </w:r>
            <w:r>
              <w:rPr>
                <w:rFonts w:hint="eastAsia" w:ascii="Times New Roman" w:hAnsi="Times New Roman" w:cs="Times New Roman"/>
                <w:b/>
                <w:color w:val="auto"/>
                <w:sz w:val="20"/>
                <w:szCs w:val="22"/>
                <w:lang w:val="en-US" w:eastAsia="zh-CN"/>
              </w:rPr>
              <w:t>特殊过程：销售服务，制定《服务过程控制程序》，对特殊过程进行确认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固废排放、火灾事故的发生，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环境安全运行控制程序、废弃物控制程序、应急准备和响应控制程序、应急预案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火灾、触电，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环境安全运行控制程序</w:t>
            </w:r>
            <w:r>
              <w:rPr>
                <w:rFonts w:hint="eastAsia"/>
                <w:b/>
                <w:sz w:val="20"/>
                <w:lang w:val="en-US" w:eastAsia="zh-CN"/>
              </w:rPr>
              <w:t>、应急准备和响应控制程序、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应急预案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质量法、环境保护法、安全生产法、消防法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18"/>
          <w:szCs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3689985</wp:posOffset>
            </wp:positionH>
            <wp:positionV relativeFrom="paragraph">
              <wp:posOffset>97155</wp:posOffset>
            </wp:positionV>
            <wp:extent cx="715010" cy="379730"/>
            <wp:effectExtent l="0" t="0" r="1270" b="1270"/>
            <wp:wrapNone/>
            <wp:docPr id="1" name="图片 1" descr="李蒙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李蒙生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5010" cy="379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val="en-US" w:eastAsia="zh-CN"/>
        </w:rPr>
        <w:t>李蒙生</w:t>
      </w:r>
      <w:r>
        <w:rPr>
          <w:rFonts w:hint="eastAsia" w:ascii="宋体"/>
          <w:b/>
          <w:sz w:val="18"/>
          <w:szCs w:val="18"/>
        </w:rPr>
        <w:t xml:space="preserve">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b/>
          <w:sz w:val="18"/>
          <w:szCs w:val="18"/>
          <w:lang w:val="en-US" w:eastAsia="zh-CN"/>
        </w:rPr>
        <w:t>2021.1.19</w:t>
      </w:r>
      <w:r>
        <w:rPr>
          <w:rFonts w:hint="eastAsia"/>
          <w:b/>
          <w:sz w:val="18"/>
          <w:szCs w:val="18"/>
        </w:rPr>
        <w:t xml:space="preserve">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2021.1.19</w:t>
      </w:r>
      <w:bookmarkStart w:id="6" w:name="_GoBack"/>
      <w:bookmarkEnd w:id="6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2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2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4410ADD"/>
    <w:rsid w:val="403753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2</TotalTime>
  <ScaleCrop>false</ScaleCrop>
  <LinksUpToDate>false</LinksUpToDate>
  <CharactersWithSpaces>314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李蒙生</cp:lastModifiedBy>
  <dcterms:modified xsi:type="dcterms:W3CDTF">2021-01-25T07:16:40Z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