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赣州市三维广告传媒有限公司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舒健斌</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Q:35.05.01</w:t>
            </w:r>
          </w:p>
          <w:p>
            <w:pPr>
              <w:spacing w:line="240" w:lineRule="exact"/>
              <w:jc w:val="center"/>
              <w:rPr>
                <w:b/>
                <w:color w:val="000000" w:themeColor="text1"/>
                <w:sz w:val="20"/>
                <w:szCs w:val="20"/>
              </w:rPr>
            </w:pPr>
            <w:r>
              <w:rPr>
                <w:b/>
                <w:color w:val="000000" w:themeColor="text1"/>
                <w:sz w:val="20"/>
                <w:szCs w:val="20"/>
              </w:rPr>
              <w:t>E:35.05.01</w:t>
            </w:r>
          </w:p>
          <w:p>
            <w:pPr>
              <w:spacing w:line="240" w:lineRule="exact"/>
              <w:jc w:val="center"/>
              <w:rPr>
                <w:b/>
                <w:color w:val="000000" w:themeColor="text1"/>
                <w:sz w:val="20"/>
                <w:szCs w:val="20"/>
              </w:rPr>
            </w:pPr>
            <w:r>
              <w:rPr>
                <w:b/>
                <w:color w:val="000000" w:themeColor="text1"/>
                <w:sz w:val="20"/>
                <w:szCs w:val="20"/>
              </w:rPr>
              <w:t>O:35.05.01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赣州市三维广告传媒有限公司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江西省赣州市于都县贡江镇红军大道贡江医院旁（新龙都大市场P栋4号店面）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342399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江西省赣州市于都县贡江镇红军大道贡江医院旁（新龙都大市场P栋4号店面）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342399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段冬梅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18379713776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王俭</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徐小红</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Q：各类广告设计、制作、发布、代理</w:t>
            </w:r>
          </w:p>
          <w:p>
            <w:pPr>
              <w:spacing w:line="320" w:lineRule="exact"/>
              <w:rPr>
                <w:rFonts w:ascii="宋体" w:hAnsi="宋体"/>
                <w:b/>
                <w:color w:val="000000" w:themeColor="text1"/>
                <w:sz w:val="20"/>
                <w:szCs w:val="20"/>
              </w:rPr>
            </w:pPr>
            <w:r>
              <w:rPr>
                <w:rFonts w:ascii="宋体" w:hAnsi="宋体"/>
                <w:b/>
                <w:color w:val="000000" w:themeColor="text1"/>
                <w:sz w:val="20"/>
                <w:szCs w:val="20"/>
              </w:rPr>
              <w:t>E：各类广告设计、制作、发布、代理所涉及场所的相关环境管理活动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O：各类广告设计、制作、发布、代理所 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Q：35.05.01</w:t>
            </w:r>
          </w:p>
          <w:p>
            <w:pPr>
              <w:spacing w:line="320" w:lineRule="exact"/>
              <w:rPr>
                <w:rFonts w:ascii="宋体" w:hAnsi="宋体"/>
                <w:b/>
                <w:color w:val="000000" w:themeColor="text1"/>
                <w:sz w:val="20"/>
                <w:szCs w:val="20"/>
              </w:rPr>
            </w:pPr>
            <w:r>
              <w:rPr>
                <w:rFonts w:ascii="宋体" w:hAnsi="宋体"/>
                <w:b/>
                <w:color w:val="000000" w:themeColor="text1"/>
                <w:sz w:val="20"/>
                <w:szCs w:val="20"/>
              </w:rPr>
              <w:t>E：35.05.01</w:t>
            </w:r>
          </w:p>
          <w:p>
            <w:pPr>
              <w:spacing w:line="320" w:lineRule="exact"/>
              <w:rPr>
                <w:rFonts w:ascii="宋体" w:hAnsi="宋体"/>
                <w:b/>
                <w:color w:val="000000" w:themeColor="text1"/>
                <w:sz w:val="20"/>
                <w:szCs w:val="20"/>
              </w:rPr>
            </w:pPr>
            <w:r>
              <w:rPr>
                <w:rFonts w:ascii="宋体" w:hAnsi="宋体"/>
                <w:b/>
                <w:color w:val="000000" w:themeColor="text1"/>
                <w:sz w:val="20"/>
                <w:szCs w:val="20"/>
              </w:rPr>
              <w:t>O：35.05.01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sz w:val="20"/>
                <w:szCs w:val="20"/>
              </w:rPr>
              <w:t>管理层</w:t>
            </w:r>
          </w:p>
        </w:tc>
        <w:tc>
          <w:tcPr>
            <w:tcW w:w="6804" w:type="dxa"/>
            <w:vAlign w:val="top"/>
          </w:tcPr>
          <w:p>
            <w:pPr>
              <w:spacing w:line="240" w:lineRule="exact"/>
              <w:jc w:val="both"/>
              <w:rPr>
                <w:rFonts w:ascii="宋体" w:hAnsi="宋体"/>
                <w:b/>
                <w:color w:val="000000" w:themeColor="text1"/>
                <w:spacing w:val="-20"/>
                <w:sz w:val="20"/>
                <w:szCs w:val="20"/>
                <w:u w:val="single"/>
              </w:rPr>
            </w:pPr>
            <w:r>
              <w:rPr>
                <w:rFonts w:ascii="宋体" w:hAnsi="宋体"/>
                <w:sz w:val="20"/>
                <w:szCs w:val="20"/>
              </w:rPr>
              <w:t>组织环境</w:t>
            </w:r>
            <w:r>
              <w:rPr>
                <w:rFonts w:hint="eastAsia" w:ascii="宋体" w:hAnsi="宋体"/>
                <w:sz w:val="20"/>
                <w:szCs w:val="20"/>
              </w:rPr>
              <w:t>、</w:t>
            </w:r>
            <w:r>
              <w:rPr>
                <w:rFonts w:ascii="宋体" w:hAnsi="宋体"/>
                <w:sz w:val="20"/>
                <w:szCs w:val="20"/>
              </w:rPr>
              <w:t>风险和机遇</w:t>
            </w:r>
            <w:r>
              <w:rPr>
                <w:rFonts w:hint="eastAsia" w:ascii="宋体" w:hAnsi="宋体"/>
                <w:sz w:val="20"/>
                <w:szCs w:val="20"/>
              </w:rPr>
              <w:t>、</w:t>
            </w:r>
            <w:r>
              <w:rPr>
                <w:rFonts w:ascii="宋体" w:hAnsi="宋体"/>
                <w:sz w:val="20"/>
                <w:szCs w:val="20"/>
              </w:rPr>
              <w:t>领导作用</w:t>
            </w:r>
            <w:r>
              <w:rPr>
                <w:rFonts w:hint="eastAsia" w:ascii="宋体" w:hAnsi="宋体"/>
                <w:sz w:val="20"/>
                <w:szCs w:val="20"/>
              </w:rPr>
              <w:t>、</w:t>
            </w:r>
            <w:r>
              <w:rPr>
                <w:rFonts w:ascii="宋体" w:hAnsi="宋体"/>
                <w:sz w:val="20"/>
                <w:szCs w:val="20"/>
              </w:rPr>
              <w:t>管理评审</w:t>
            </w:r>
            <w:r>
              <w:rPr>
                <w:rFonts w:hint="eastAsia" w:ascii="宋体" w:hAnsi="宋体"/>
                <w:sz w:val="20"/>
                <w:szCs w:val="20"/>
              </w:rPr>
              <w:t>、</w:t>
            </w:r>
            <w:r>
              <w:rPr>
                <w:rFonts w:ascii="宋体" w:hAnsi="宋体"/>
                <w:sz w:val="20"/>
                <w:szCs w:val="20"/>
              </w:rPr>
              <w:t>资源提供等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vAlign w:val="center"/>
          </w:tcPr>
          <w:p>
            <w:pPr>
              <w:spacing w:line="240" w:lineRule="exact"/>
              <w:jc w:val="both"/>
              <w:rPr>
                <w:rFonts w:ascii="宋体" w:hAnsi="宋体"/>
                <w:b/>
                <w:color w:val="000000" w:themeColor="text1"/>
                <w:spacing w:val="-20"/>
                <w:sz w:val="20"/>
                <w:szCs w:val="20"/>
                <w:u w:val="single"/>
              </w:rPr>
            </w:pPr>
            <w:r>
              <w:rPr>
                <w:rFonts w:hint="eastAsia" w:ascii="宋体" w:hAnsi="宋体"/>
                <w:sz w:val="20"/>
                <w:szCs w:val="20"/>
                <w:lang w:val="en-US" w:eastAsia="zh-CN"/>
              </w:rPr>
              <w:t>采购</w:t>
            </w:r>
            <w:r>
              <w:rPr>
                <w:rFonts w:ascii="宋体" w:hAnsi="宋体"/>
                <w:sz w:val="20"/>
                <w:szCs w:val="20"/>
              </w:rPr>
              <w:t>过程</w:t>
            </w:r>
            <w:r>
              <w:rPr>
                <w:rFonts w:hint="eastAsia" w:ascii="宋体" w:hAnsi="宋体"/>
                <w:sz w:val="20"/>
                <w:szCs w:val="20"/>
              </w:rPr>
              <w:t>、</w:t>
            </w:r>
            <w:r>
              <w:rPr>
                <w:rFonts w:ascii="宋体" w:hAnsi="宋体"/>
                <w:sz w:val="20"/>
                <w:szCs w:val="20"/>
              </w:rPr>
              <w:t>销售过程</w:t>
            </w:r>
            <w:r>
              <w:rPr>
                <w:rFonts w:hint="eastAsia" w:ascii="宋体" w:hAnsi="宋体"/>
                <w:sz w:val="20"/>
                <w:szCs w:val="20"/>
              </w:rPr>
              <w:t>、</w:t>
            </w:r>
            <w:r>
              <w:rPr>
                <w:rFonts w:ascii="宋体" w:hAnsi="宋体"/>
                <w:sz w:val="20"/>
                <w:szCs w:val="20"/>
              </w:rPr>
              <w:t>相关方施加影响</w:t>
            </w:r>
            <w:r>
              <w:rPr>
                <w:rFonts w:hint="eastAsia" w:ascii="宋体" w:hAnsi="宋体"/>
                <w:sz w:val="20"/>
                <w:szCs w:val="20"/>
                <w:lang w:eastAsia="zh-CN"/>
              </w:rPr>
              <w:t>、</w:t>
            </w:r>
            <w:r>
              <w:rPr>
                <w:rFonts w:ascii="宋体" w:hAnsi="宋体"/>
                <w:sz w:val="20"/>
                <w:szCs w:val="20"/>
              </w:rPr>
              <w:t>文件</w:t>
            </w:r>
            <w:r>
              <w:rPr>
                <w:rFonts w:hint="eastAsia" w:ascii="宋体" w:hAnsi="宋体"/>
                <w:sz w:val="20"/>
                <w:szCs w:val="20"/>
              </w:rPr>
              <w:t>、</w:t>
            </w:r>
            <w:r>
              <w:rPr>
                <w:rFonts w:ascii="宋体" w:hAnsi="宋体"/>
                <w:sz w:val="20"/>
                <w:szCs w:val="20"/>
              </w:rPr>
              <w:t>记录</w:t>
            </w:r>
            <w:r>
              <w:rPr>
                <w:rFonts w:hint="eastAsia" w:ascii="宋体" w:hAnsi="宋体"/>
                <w:sz w:val="20"/>
                <w:szCs w:val="20"/>
              </w:rPr>
              <w:t>、</w:t>
            </w:r>
            <w:r>
              <w:rPr>
                <w:rFonts w:ascii="宋体" w:hAnsi="宋体"/>
                <w:sz w:val="20"/>
                <w:szCs w:val="20"/>
              </w:rPr>
              <w:t>培训</w:t>
            </w:r>
            <w:r>
              <w:rPr>
                <w:rFonts w:hint="eastAsia" w:ascii="宋体" w:hAnsi="宋体"/>
                <w:sz w:val="20"/>
                <w:szCs w:val="20"/>
              </w:rPr>
              <w:t>、</w:t>
            </w:r>
            <w:r>
              <w:rPr>
                <w:rFonts w:ascii="宋体" w:hAnsi="宋体"/>
                <w:sz w:val="20"/>
                <w:szCs w:val="20"/>
              </w:rPr>
              <w:t>内审</w:t>
            </w:r>
            <w:r>
              <w:rPr>
                <w:rFonts w:hint="eastAsia" w:ascii="宋体" w:hAnsi="宋体"/>
                <w:sz w:val="20"/>
                <w:szCs w:val="20"/>
              </w:rPr>
              <w:t>、</w:t>
            </w:r>
            <w:r>
              <w:rPr>
                <w:rFonts w:ascii="宋体" w:hAnsi="宋体"/>
                <w:sz w:val="20"/>
                <w:szCs w:val="20"/>
              </w:rPr>
              <w:t>法律法规</w:t>
            </w:r>
            <w:r>
              <w:rPr>
                <w:rFonts w:hint="eastAsia" w:ascii="宋体" w:hAnsi="宋体"/>
                <w:sz w:val="20"/>
                <w:szCs w:val="20"/>
              </w:rPr>
              <w:t>、</w:t>
            </w:r>
            <w:r>
              <w:rPr>
                <w:rFonts w:ascii="宋体" w:hAnsi="宋体"/>
                <w:sz w:val="20"/>
                <w:szCs w:val="20"/>
              </w:rPr>
              <w:t>合规性评价</w:t>
            </w:r>
            <w:r>
              <w:rPr>
                <w:rFonts w:hint="eastAsia" w:ascii="宋体" w:hAnsi="宋体"/>
                <w:sz w:val="20"/>
                <w:szCs w:val="20"/>
              </w:rPr>
              <w:t>、</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r>
              <w:rPr>
                <w:rFonts w:hint="eastAsia" w:ascii="宋体" w:hAnsi="宋体"/>
                <w:sz w:val="20"/>
                <w:szCs w:val="20"/>
              </w:rPr>
              <w:t>、</w:t>
            </w:r>
            <w:r>
              <w:rPr>
                <w:rFonts w:ascii="宋体" w:hAnsi="宋体"/>
                <w:sz w:val="20"/>
                <w:szCs w:val="20"/>
              </w:rPr>
              <w:t>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sz w:val="20"/>
                <w:szCs w:val="20"/>
                <w:lang w:val="en-US" w:eastAsia="zh-CN"/>
              </w:rPr>
              <w:t>制作安装</w:t>
            </w:r>
            <w:r>
              <w:rPr>
                <w:rFonts w:ascii="宋体" w:hAnsi="宋体"/>
                <w:b/>
                <w:sz w:val="20"/>
                <w:szCs w:val="20"/>
              </w:rPr>
              <w:t>部</w:t>
            </w:r>
          </w:p>
        </w:tc>
        <w:tc>
          <w:tcPr>
            <w:tcW w:w="6804" w:type="dxa"/>
            <w:vAlign w:val="top"/>
          </w:tcPr>
          <w:p>
            <w:pPr>
              <w:spacing w:line="240" w:lineRule="exact"/>
              <w:jc w:val="both"/>
              <w:rPr>
                <w:rFonts w:ascii="宋体" w:hAnsi="宋体"/>
                <w:b/>
                <w:color w:val="000000" w:themeColor="text1"/>
                <w:spacing w:val="-20"/>
                <w:sz w:val="20"/>
                <w:szCs w:val="20"/>
                <w:u w:val="single"/>
              </w:rPr>
            </w:pPr>
            <w:r>
              <w:rPr>
                <w:rFonts w:hint="eastAsia" w:ascii="宋体" w:hAnsi="宋体"/>
                <w:sz w:val="20"/>
                <w:szCs w:val="20"/>
                <w:lang w:val="en-US" w:eastAsia="zh-CN"/>
              </w:rPr>
              <w:t>生产和服务过程控制</w:t>
            </w:r>
            <w:r>
              <w:rPr>
                <w:rFonts w:hint="eastAsia" w:ascii="宋体" w:hAnsi="宋体"/>
                <w:sz w:val="20"/>
                <w:szCs w:val="20"/>
              </w:rPr>
              <w:t>、</w:t>
            </w:r>
            <w:r>
              <w:rPr>
                <w:rFonts w:hint="eastAsia" w:ascii="宋体" w:hAnsi="宋体"/>
                <w:sz w:val="20"/>
                <w:szCs w:val="20"/>
                <w:lang w:val="en-US" w:eastAsia="zh-CN"/>
              </w:rPr>
              <w:t>放行、不合格、关键/特殊工序控制、</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sz w:val="20"/>
                <w:szCs w:val="20"/>
                <w:lang w:val="en-US" w:eastAsia="zh-CN"/>
              </w:rPr>
            </w:pPr>
            <w:r>
              <w:rPr>
                <w:rFonts w:hint="eastAsia" w:ascii="宋体" w:hAnsi="宋体"/>
                <w:b/>
                <w:sz w:val="20"/>
                <w:szCs w:val="20"/>
                <w:lang w:val="en-US" w:eastAsia="zh-CN"/>
              </w:rPr>
              <w:t>设计部</w:t>
            </w:r>
          </w:p>
        </w:tc>
        <w:tc>
          <w:tcPr>
            <w:tcW w:w="6804" w:type="dxa"/>
            <w:vAlign w:val="top"/>
          </w:tcPr>
          <w:p>
            <w:pPr>
              <w:spacing w:line="240" w:lineRule="exact"/>
              <w:jc w:val="both"/>
              <w:rPr>
                <w:rFonts w:hint="default" w:ascii="宋体" w:hAnsi="宋体"/>
                <w:sz w:val="20"/>
                <w:szCs w:val="20"/>
                <w:lang w:val="en-US" w:eastAsia="zh-CN"/>
              </w:rPr>
            </w:pPr>
            <w:r>
              <w:rPr>
                <w:rFonts w:hint="eastAsia" w:ascii="宋体" w:hAnsi="宋体"/>
                <w:sz w:val="20"/>
                <w:szCs w:val="20"/>
                <w:lang w:val="en-US" w:eastAsia="zh-CN"/>
              </w:rPr>
              <w:t>广告设计</w:t>
            </w:r>
            <w:r>
              <w:rPr>
                <w:rFonts w:ascii="宋体" w:hAnsi="宋体"/>
                <w:sz w:val="20"/>
                <w:szCs w:val="20"/>
              </w:rPr>
              <w:t>环境因素</w:t>
            </w:r>
            <w:r>
              <w:rPr>
                <w:rFonts w:hint="eastAsia" w:ascii="宋体" w:hAnsi="宋体"/>
                <w:sz w:val="20"/>
                <w:szCs w:val="20"/>
              </w:rPr>
              <w:t>、</w:t>
            </w:r>
            <w:r>
              <w:rPr>
                <w:rFonts w:ascii="宋体" w:hAnsi="宋体"/>
                <w:sz w:val="20"/>
                <w:szCs w:val="20"/>
              </w:rPr>
              <w:t>危险源识别及运行控制</w:t>
            </w:r>
            <w:r>
              <w:rPr>
                <w:rFonts w:hint="eastAsia" w:ascii="宋体" w:hAnsi="宋体"/>
                <w:sz w:val="20"/>
                <w:szCs w:val="20"/>
              </w:rPr>
              <w:t>、</w:t>
            </w:r>
            <w:r>
              <w:rPr>
                <w:rFonts w:ascii="宋体" w:hAnsi="宋体"/>
                <w:sz w:val="20"/>
                <w:szCs w:val="20"/>
              </w:rPr>
              <w:t>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054" w:firstLineChars="500"/>
              <w:rPr>
                <w:rFonts w:hint="default" w:ascii="宋体" w:hAnsi="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rPr>
                <w:rFonts w:ascii="宋体" w:hAnsi="宋体"/>
                <w:b/>
                <w:color w:val="000000" w:themeColor="text1"/>
                <w:spacing w:val="-20"/>
                <w:szCs w:val="21"/>
                <w:u w:val="single"/>
              </w:rPr>
            </w:pPr>
            <w:r>
              <w:rPr>
                <w:rFonts w:hint="eastAsia" w:ascii="宋体" w:hAnsi="宋体"/>
                <w:sz w:val="20"/>
                <w:szCs w:val="20"/>
                <w:lang w:val="en-US" w:eastAsia="zh-CN"/>
              </w:rPr>
              <w:t>资金支持</w:t>
            </w:r>
            <w:r>
              <w:rPr>
                <w:rFonts w:ascii="宋体" w:hAnsi="宋体"/>
                <w:sz w:val="20"/>
                <w:szCs w:val="20"/>
              </w:rPr>
              <w:t>及运行控制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sz w:val="20"/>
              </w:rPr>
            </w:pPr>
            <w:r>
              <w:rPr>
                <w:sz w:val="20"/>
              </w:rPr>
              <w:t>各类广告设计、制作、发布、代理</w:t>
            </w:r>
          </w:p>
          <w:p>
            <w:pPr>
              <w:rPr>
                <w:rFonts w:hint="default" w:eastAsia="宋体"/>
                <w:b/>
                <w:color w:val="000000" w:themeColor="text1"/>
                <w:sz w:val="20"/>
                <w:szCs w:val="20"/>
                <w:lang w:val="en-US" w:eastAsia="zh-CN"/>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pStyle w:val="4"/>
              <w:keepNext w:val="0"/>
              <w:keepLines w:val="0"/>
              <w:widowControl/>
              <w:suppressLineNumbers w:val="0"/>
              <w:rPr>
                <w:b w:val="0"/>
                <w:bCs/>
                <w:sz w:val="21"/>
                <w:szCs w:val="21"/>
              </w:rPr>
            </w:pPr>
            <w:r>
              <w:rPr>
                <w:rFonts w:hint="eastAsia"/>
                <w:b w:val="0"/>
                <w:bCs/>
                <w:sz w:val="20"/>
                <w:lang w:val="en-US" w:eastAsia="zh-CN"/>
              </w:rPr>
              <w:t>户外广告牌技术规范、</w:t>
            </w:r>
            <w:r>
              <w:rPr>
                <w:b w:val="0"/>
                <w:bCs/>
                <w:sz w:val="21"/>
                <w:szCs w:val="21"/>
              </w:rPr>
              <w:t>CJJ 149-2010 城市户外广告设施技术规范</w:t>
            </w:r>
          </w:p>
          <w:p>
            <w:pPr>
              <w:rPr>
                <w:rFonts w:hint="eastAsia" w:eastAsia="楷体_GB2312"/>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rFonts w:ascii="宋体" w:hAnsi="宋体"/>
                <w:color w:val="000000" w:themeColor="text1"/>
              </w:rPr>
            </w:pPr>
            <w:r>
              <w:rPr>
                <w:rFonts w:hint="eastAsia" w:ascii="宋体" w:hAnsi="宋体"/>
                <w:color w:val="000000" w:themeColor="text1"/>
              </w:rPr>
              <w:t>组织对内外部因素、相关方需求和期望进行了充分的识别，策划和实施有效。组织确定了体系的边界，基本适用。管理体系全条款适用。</w:t>
            </w:r>
          </w:p>
          <w:p>
            <w:pPr>
              <w:rPr>
                <w:rFonts w:ascii="宋体" w:hAnsi="宋体"/>
                <w:color w:val="000000" w:themeColor="text1"/>
              </w:rPr>
            </w:pPr>
            <w:r>
              <w:rPr>
                <w:rFonts w:hint="eastAsia" w:ascii="宋体" w:hAnsi="宋体"/>
                <w:color w:val="000000" w:themeColor="text1"/>
              </w:rPr>
              <w:t>经营范围：</w:t>
            </w:r>
            <w:r>
              <w:rPr>
                <w:sz w:val="21"/>
                <w:szCs w:val="21"/>
              </w:rPr>
              <w:t>各类广告设计、制作、发布、代理</w:t>
            </w:r>
            <w:r>
              <w:rPr>
                <w:rFonts w:hint="eastAsia" w:ascii="宋体" w:hAnsi="宋体"/>
                <w:color w:val="000000" w:themeColor="text1"/>
                <w:sz w:val="21"/>
                <w:szCs w:val="21"/>
              </w:rPr>
              <w:t>。</w:t>
            </w:r>
            <w:r>
              <w:rPr>
                <w:rFonts w:hint="eastAsia" w:ascii="宋体" w:hAnsi="宋体"/>
                <w:color w:val="000000" w:themeColor="text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b/>
                <w:color w:val="000000" w:themeColor="text1"/>
                <w:sz w:val="20"/>
                <w:szCs w:val="20"/>
              </w:rPr>
            </w:pPr>
            <w:r>
              <w:rPr>
                <w:rFonts w:hint="eastAsia" w:ascii="宋体" w:hAnsi="宋体"/>
                <w:color w:val="000000" w:themeColor="text1"/>
              </w:rPr>
              <w:t>提供了《组织内外部环境因素识别表》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p>
            <w:pPr>
              <w:spacing w:line="240" w:lineRule="exact"/>
              <w:ind w:firstLine="420" w:firstLineChars="200"/>
              <w:rPr>
                <w:b/>
                <w:color w:val="000000" w:themeColor="text1"/>
                <w:sz w:val="20"/>
                <w:szCs w:val="20"/>
              </w:rPr>
            </w:pPr>
            <w:r>
              <w:rPr>
                <w:rFonts w:hint="eastAsia" w:ascii="宋体" w:hAnsi="宋体" w:cs="宋体"/>
                <w:color w:val="000000"/>
                <w:szCs w:val="21"/>
              </w:rPr>
              <w:t>主要顾客群：</w:t>
            </w:r>
            <w:r>
              <w:rPr>
                <w:rFonts w:hint="eastAsia" w:ascii="宋体" w:hAnsi="宋体" w:cs="宋体"/>
                <w:color w:val="auto"/>
                <w:szCs w:val="21"/>
                <w:lang w:val="en-US" w:eastAsia="zh-CN"/>
              </w:rPr>
              <w:t>学校</w:t>
            </w:r>
            <w:r>
              <w:rPr>
                <w:rFonts w:hint="eastAsia" w:ascii="宋体" w:hAnsi="宋体" w:cs="宋体"/>
                <w:color w:val="auto"/>
                <w:szCs w:val="21"/>
              </w:rPr>
              <w:t>、</w:t>
            </w:r>
            <w:r>
              <w:rPr>
                <w:rFonts w:hint="eastAsia" w:ascii="宋体" w:hAnsi="宋体" w:cs="宋体"/>
                <w:color w:val="auto"/>
                <w:szCs w:val="21"/>
                <w:lang w:val="en-US" w:eastAsia="zh-CN"/>
              </w:rPr>
              <w:t>房产公司</w:t>
            </w:r>
            <w:r>
              <w:rPr>
                <w:rFonts w:hint="eastAsia" w:ascii="宋体" w:hAnsi="宋体" w:cs="宋体"/>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rPr>
            </w:pPr>
            <w:r>
              <w:rPr>
                <w:b/>
                <w:color w:val="000000" w:themeColor="text1"/>
              </w:rPr>
              <w:t>4</w:t>
            </w:r>
            <w:r>
              <w:rPr>
                <w:rFonts w:hint="eastAsia"/>
                <w:b/>
                <w:color w:val="000000" w:themeColor="text1"/>
              </w:rPr>
              <w:t>、风险识别与控制策划（</w:t>
            </w:r>
            <w:r>
              <w:rPr>
                <w:b/>
                <w:color w:val="000000" w:themeColor="text1"/>
              </w:rPr>
              <w:t>QMS</w:t>
            </w:r>
            <w:r>
              <w:rPr>
                <w:rFonts w:hint="eastAsia"/>
                <w:b/>
                <w:color w:val="000000" w:themeColor="text1"/>
              </w:rPr>
              <w:t>）</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p>
            <w:pPr>
              <w:spacing w:line="240" w:lineRule="exact"/>
              <w:ind w:firstLine="420" w:firstLineChars="200"/>
              <w:rPr>
                <w:rFonts w:ascii="宋体" w:hAnsi="宋体"/>
                <w:color w:val="000000" w:themeColor="text1"/>
              </w:rPr>
            </w:pPr>
            <w:r>
              <w:rPr>
                <w:rFonts w:hint="eastAsia" w:ascii="宋体" w:hAnsi="宋体"/>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0" w:firstLineChars="200"/>
              <w:rPr>
                <w:rFonts w:ascii="宋体" w:hAnsi="宋体"/>
                <w:color w:val="000000" w:themeColor="text1"/>
              </w:rPr>
            </w:pPr>
            <w:r>
              <w:rPr>
                <w:rFonts w:hint="eastAsia" w:ascii="宋体" w:hAnsi="宋体"/>
                <w:color w:val="000000" w:themeColor="text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0" w:firstLineChars="200"/>
              <w:rPr>
                <w:rFonts w:ascii="宋体" w:hAnsi="宋体"/>
                <w:color w:val="000000" w:themeColor="text1"/>
              </w:rPr>
            </w:pPr>
            <w:r>
              <w:rPr>
                <w:rFonts w:hint="eastAsia" w:ascii="宋体" w:hAnsi="宋体"/>
                <w:color w:val="000000" w:themeColor="text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rPr>
            </w:pPr>
            <w:r>
              <w:rPr>
                <w:rFonts w:hint="eastAsia" w:ascii="宋体" w:hAnsi="宋体"/>
                <w:b/>
                <w:color w:val="000000" w:themeColor="text1"/>
                <w:sz w:val="20"/>
                <w:szCs w:val="20"/>
              </w:rPr>
              <w:t>质量管理体系过程有：</w:t>
            </w:r>
            <w:r>
              <w:rPr>
                <w:rFonts w:hint="eastAsia" w:ascii="宋体" w:hAnsi="宋体"/>
              </w:rPr>
              <w:t>人力资源、基础设施、文件、机构、职责、产品和服务的要求、外部提供的产品和服务、产品放行、不合格输出控制、绩效评价、改进等</w:t>
            </w:r>
          </w:p>
          <w:p>
            <w:pPr>
              <w:keepNext w:val="0"/>
              <w:keepLines w:val="0"/>
              <w:pageBreakBefore w:val="0"/>
              <w:widowControl w:val="0"/>
              <w:kinsoku/>
              <w:wordWrap/>
              <w:overflowPunct/>
              <w:topLinePunct w:val="0"/>
              <w:autoSpaceDE/>
              <w:autoSpaceDN/>
              <w:bidi w:val="0"/>
              <w:spacing w:line="280" w:lineRule="exact"/>
              <w:jc w:val="both"/>
              <w:textAlignment w:val="auto"/>
              <w:outlineLvl w:val="9"/>
              <w:rPr>
                <w:rFonts w:hint="eastAsia" w:ascii="Times New Roman" w:hAnsi="Times New Roman" w:eastAsia="宋体" w:cs="Times New Roman"/>
                <w:kern w:val="0"/>
                <w:sz w:val="21"/>
                <w:szCs w:val="21"/>
                <w:lang w:val="en-US" w:eastAsia="zh-CN" w:bidi="ar-SA"/>
              </w:rPr>
            </w:pPr>
            <w:r>
              <w:rPr>
                <w:rFonts w:hint="eastAsia" w:ascii="宋体" w:hAnsi="宋体"/>
                <w:b/>
                <w:sz w:val="20"/>
                <w:szCs w:val="20"/>
              </w:rPr>
              <w:t>其中</w:t>
            </w:r>
            <w:r>
              <w:rPr>
                <w:rFonts w:hint="eastAsia" w:ascii="宋体" w:hAnsi="宋体"/>
                <w:b/>
                <w:sz w:val="20"/>
                <w:szCs w:val="20"/>
                <w:lang w:val="en-US" w:eastAsia="zh-CN"/>
              </w:rPr>
              <w:t>特殊</w:t>
            </w:r>
            <w:r>
              <w:rPr>
                <w:rFonts w:hint="eastAsia" w:ascii="宋体" w:hAnsi="宋体"/>
                <w:b/>
                <w:sz w:val="20"/>
                <w:szCs w:val="20"/>
              </w:rPr>
              <w:t>过程有：</w:t>
            </w:r>
            <w:r>
              <w:rPr>
                <w:rFonts w:hint="eastAsia" w:ascii="宋体" w:cs="宋体"/>
                <w:color w:val="000000"/>
                <w:kern w:val="0"/>
                <w:sz w:val="21"/>
                <w:szCs w:val="21"/>
                <w:u w:val="none"/>
                <w:lang w:eastAsia="zh-CN"/>
              </w:rPr>
              <w:t>设计开发过程、</w:t>
            </w:r>
            <w:r>
              <w:rPr>
                <w:rFonts w:hint="eastAsia" w:ascii="宋体" w:cs="宋体"/>
                <w:color w:val="000000"/>
                <w:kern w:val="0"/>
                <w:sz w:val="21"/>
                <w:szCs w:val="21"/>
                <w:u w:val="none"/>
                <w:lang w:val="en-US" w:eastAsia="zh-CN"/>
              </w:rPr>
              <w:t>焊接过程</w:t>
            </w:r>
            <w:r>
              <w:rPr>
                <w:rFonts w:hint="eastAsia" w:ascii="Times New Roman" w:hAnsi="Times New Roman" w:eastAsia="宋体" w:cs="Times New Roman"/>
                <w:kern w:val="0"/>
                <w:sz w:val="21"/>
                <w:szCs w:val="21"/>
                <w:lang w:val="en-US" w:eastAsia="zh-CN" w:bidi="ar-SA"/>
              </w:rPr>
              <w:t>。</w:t>
            </w:r>
          </w:p>
          <w:p>
            <w:pPr>
              <w:tabs>
                <w:tab w:val="left" w:pos="540"/>
              </w:tabs>
              <w:spacing w:line="300" w:lineRule="exact"/>
              <w:ind w:left="201" w:hanging="201" w:hangingChars="100"/>
              <w:rPr>
                <w:rFonts w:ascii="宋体" w:hAnsi="宋体"/>
                <w:b/>
                <w:color w:val="FF0000"/>
                <w:sz w:val="20"/>
                <w:szCs w:val="20"/>
              </w:rPr>
            </w:pPr>
            <w:r>
              <w:rPr>
                <w:rFonts w:hint="eastAsia" w:ascii="宋体" w:hAnsi="宋体"/>
                <w:b/>
                <w:sz w:val="20"/>
                <w:szCs w:val="20"/>
              </w:rPr>
              <w:t>需要确认过程：</w:t>
            </w:r>
            <w:r>
              <w:rPr>
                <w:rFonts w:hint="eastAsia" w:ascii="宋体" w:cs="宋体"/>
                <w:color w:val="000000"/>
                <w:kern w:val="0"/>
                <w:sz w:val="21"/>
                <w:szCs w:val="21"/>
                <w:u w:val="none"/>
                <w:lang w:eastAsia="zh-CN"/>
              </w:rPr>
              <w:t>设计开发过程、</w:t>
            </w:r>
            <w:r>
              <w:rPr>
                <w:rFonts w:hint="eastAsia" w:ascii="宋体" w:cs="宋体"/>
                <w:color w:val="000000"/>
                <w:kern w:val="0"/>
                <w:sz w:val="21"/>
                <w:szCs w:val="21"/>
                <w:u w:val="none"/>
                <w:lang w:val="en-US" w:eastAsia="zh-CN"/>
              </w:rPr>
              <w:t>焊接过程</w:t>
            </w:r>
            <w:r>
              <w:rPr>
                <w:rFonts w:hint="eastAsia" w:ascii="Times New Roman" w:hAnsi="Times New Roman" w:eastAsia="宋体" w:cs="Times New Roman"/>
                <w:kern w:val="0"/>
                <w:sz w:val="21"/>
                <w:szCs w:val="21"/>
                <w:lang w:val="en-US" w:eastAsia="zh-CN" w:bidi="ar-SA"/>
              </w:rPr>
              <w:t>。</w:t>
            </w:r>
          </w:p>
          <w:p>
            <w:pPr>
              <w:tabs>
                <w:tab w:val="left" w:pos="540"/>
              </w:tabs>
              <w:spacing w:line="300" w:lineRule="exact"/>
              <w:ind w:left="210" w:hanging="210" w:hangingChars="100"/>
              <w:rPr>
                <w:rFonts w:hint="eastAsia" w:ascii="宋体" w:hAnsi="宋体" w:eastAsiaTheme="minorEastAsia"/>
                <w:b/>
                <w:color w:val="FF0000"/>
                <w:szCs w:val="21"/>
                <w:lang w:eastAsia="zh-CN"/>
              </w:rPr>
            </w:pPr>
            <w:r>
              <w:pict>
                <v:shape id="AutoShape 8" o:spid="_x0000_s2050" o:spt="32" type="#_x0000_t32" style="position:absolute;left:0pt;margin-left:157.9pt;margin-top:12.75pt;height:0pt;width:261.75pt;z-index:25167974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Vd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">
                  <v:path arrowok="t"/>
                  <v:fill on="f" focussize="0,0"/>
                  <v:stroke/>
                  <v:imagedata o:title=""/>
                  <o:lock v:ext="edit"/>
                </v:shape>
              </w:pict>
            </w:r>
            <w:r>
              <w:pict>
                <v:shape id="AutoShape 7" o:spid="_x0000_s2051" o:spt="32" type="#_x0000_t32" style="position:absolute;left:0pt;margin-left:55.15pt;margin-top:12.75pt;height:0pt;width:42pt;z-index:25167872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HgIAADo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">
                  <v:path arrowok="t"/>
                  <v:fill on="f" focussize="0,0"/>
                  <v:stroke/>
                  <v:imagedata o:title=""/>
                  <o:lock v:ext="edit"/>
                </v:shape>
              </w:pict>
            </w:r>
            <w:r>
              <w:rPr>
                <w:rFonts w:hint="eastAsia" w:asciiTheme="minorEastAsia" w:hAnsiTheme="minorEastAsia" w:eastAsiaTheme="minorEastAsia"/>
                <w:bCs/>
                <w:iCs/>
              </w:rPr>
              <w:t>不适用条款是</w:t>
            </w:r>
            <w:r>
              <w:rPr>
                <w:rFonts w:hint="eastAsia" w:asciiTheme="minorEastAsia" w:hAnsiTheme="minorEastAsia" w:eastAsiaTheme="minorEastAsia"/>
                <w:bCs/>
                <w:iCs/>
                <w:lang w:eastAsia="zh-CN"/>
              </w:rPr>
              <w:t>：</w:t>
            </w:r>
            <w:r>
              <w:rPr>
                <w:rFonts w:hint="eastAsia" w:asciiTheme="minorEastAsia" w:hAnsiTheme="minorEastAsia" w:eastAsiaTheme="minorEastAsia"/>
                <w:bCs/>
                <w:iCs/>
                <w:lang w:val="en-US" w:eastAsia="zh-CN"/>
              </w:rPr>
              <w:t>无</w:t>
            </w:r>
            <w:r>
              <w:rPr>
                <w:rFonts w:hint="eastAsia" w:asciiTheme="minorEastAsia" w:hAnsiTheme="minorEastAsia" w:eastAsiaTheme="minorEastAsia"/>
                <w:bCs/>
                <w:iCs/>
              </w:rPr>
              <w:t>，不适用理由：</w:t>
            </w:r>
            <w:r>
              <w:rPr>
                <w:rFonts w:hint="eastAsia" w:asciiTheme="minorEastAsia" w:hAnsiTheme="minorEastAsia" w:eastAsiaTheme="minorEastAsia"/>
                <w:bCs/>
                <w:iC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 xml:space="preserve">环境因素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420" w:firstLineChars="20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w:t>
            </w:r>
            <w:r>
              <w:rPr>
                <w:rFonts w:hint="eastAsia" w:asciiTheme="minorEastAsia" w:hAnsiTheme="minorEastAsia" w:eastAsiaTheme="minorEastAsia"/>
                <w:bCs/>
                <w:iCs/>
                <w:lang w:val="en-US" w:eastAsia="zh-CN"/>
              </w:rPr>
              <w:t>能源的消耗、</w:t>
            </w:r>
            <w:r>
              <w:rPr>
                <w:rFonts w:hint="eastAsia" w:asciiTheme="minorEastAsia" w:hAnsiTheme="minorEastAsia" w:eastAsiaTheme="minorEastAsia"/>
                <w:bCs/>
                <w:iCs/>
              </w:rPr>
              <w:t>固废排放；火灾；具体控制措施，包括：固废的控制、潜在火灾的应急预案等。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color w:val="000000" w:themeColor="text1"/>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p>
            <w:pPr>
              <w:spacing w:line="300" w:lineRule="exact"/>
              <w:ind w:firstLine="420" w:firstLineChars="200"/>
              <w:rPr>
                <w:rFonts w:ascii="宋体" w:hAnsi="宋体"/>
                <w:color w:val="000000" w:themeColor="text1"/>
              </w:rPr>
            </w:pPr>
            <w:r>
              <w:rPr>
                <w:rFonts w:hint="eastAsia" w:ascii="宋体" w:hAnsi="宋体"/>
                <w:color w:val="000000" w:themeColor="text1"/>
              </w:rPr>
              <w:t>不可接受危险源：火灾、触电、</w:t>
            </w:r>
            <w:r>
              <w:rPr>
                <w:rFonts w:hint="eastAsia" w:ascii="宋体" w:hAnsi="宋体"/>
                <w:color w:val="000000" w:themeColor="text1"/>
                <w:lang w:val="en-US" w:eastAsia="zh-CN"/>
              </w:rPr>
              <w:t>高空坠落</w:t>
            </w:r>
            <w:r>
              <w:rPr>
                <w:rFonts w:hint="eastAsia" w:ascii="宋体" w:hAnsi="宋体"/>
                <w:color w:val="000000" w:themeColor="text1"/>
                <w:lang w:eastAsia="zh-CN"/>
              </w:rPr>
              <w:t>，</w:t>
            </w:r>
            <w:r>
              <w:rPr>
                <w:rFonts w:hint="eastAsia" w:ascii="宋体" w:hAnsi="宋体"/>
                <w:color w:val="000000" w:themeColor="text1"/>
              </w:rPr>
              <w:t>制定管理方案和应急预案，控制</w:t>
            </w:r>
            <w:r>
              <w:rPr>
                <w:rFonts w:hint="eastAsia" w:ascii="宋体" w:hAnsi="宋体"/>
                <w:color w:val="000000" w:themeColor="text1"/>
                <w:lang w:val="en-US" w:eastAsia="zh-CN"/>
              </w:rPr>
              <w:t>基本</w:t>
            </w:r>
            <w:r>
              <w:rPr>
                <w:rFonts w:hint="eastAsia" w:ascii="宋体" w:hAnsi="宋体"/>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0"/>
                <w:szCs w:val="20"/>
                <w:lang w:val="en-US" w:eastAsia="zh-CN"/>
              </w:rPr>
            </w:pPr>
            <w:r>
              <w:rPr>
                <w:rFonts w:hint="eastAsia" w:ascii="宋体" w:hAnsi="宋体" w:cs="宋体"/>
                <w:color w:val="000000"/>
                <w:kern w:val="0"/>
                <w:szCs w:val="21"/>
              </w:rPr>
              <w:t>公司制定、发布了总体</w:t>
            </w:r>
            <w:r>
              <w:rPr>
                <w:rFonts w:hint="eastAsia" w:ascii="宋体" w:hAnsi="宋体" w:cs="宋体"/>
                <w:color w:val="000000"/>
                <w:kern w:val="0"/>
                <w:szCs w:val="21"/>
                <w:lang w:val="en-US" w:eastAsia="zh-CN"/>
              </w:rPr>
              <w:t>QEO</w:t>
            </w:r>
            <w:r>
              <w:rPr>
                <w:rFonts w:hint="eastAsia" w:ascii="宋体" w:hAnsi="宋体" w:cs="宋体"/>
                <w:color w:val="000000"/>
                <w:kern w:val="0"/>
                <w:szCs w:val="21"/>
              </w:rPr>
              <w:t>目标并分解到相关职能部门和层次，规定了目标值、计算方法、责任部门、检查人、考核频次等。同时，</w:t>
            </w:r>
            <w:r>
              <w:rPr>
                <w:rFonts w:hint="eastAsia" w:ascii="宋体" w:hAnsi="宋体" w:cs="宋体"/>
                <w:color w:val="000000"/>
                <w:kern w:val="0"/>
                <w:szCs w:val="21"/>
                <w:lang w:val="en-US" w:eastAsia="zh-CN"/>
              </w:rPr>
              <w:t>QEO</w:t>
            </w:r>
            <w:r>
              <w:rPr>
                <w:rFonts w:hint="eastAsia" w:ascii="宋体" w:hAnsi="宋体" w:cs="宋体"/>
                <w:color w:val="000000"/>
                <w:kern w:val="0"/>
                <w:szCs w:val="21"/>
              </w:rPr>
              <w:t>目标得到沟通和监视评价，通过数据的汇总统计、描述性统计等方法对目标进行了测量，总体已达到或超过了规定的目标值，但</w:t>
            </w:r>
            <w:r>
              <w:rPr>
                <w:rFonts w:hint="eastAsia" w:ascii="宋体" w:hAnsi="宋体" w:cs="宋体"/>
                <w:color w:val="000000"/>
                <w:kern w:val="0"/>
                <w:szCs w:val="21"/>
                <w:lang w:val="en-US" w:eastAsia="zh-CN"/>
              </w:rPr>
              <w:t>部分</w:t>
            </w:r>
            <w:r>
              <w:rPr>
                <w:rFonts w:hint="eastAsia" w:ascii="宋体" w:hAnsi="宋体" w:cs="宋体"/>
                <w:color w:val="000000"/>
                <w:kern w:val="0"/>
                <w:szCs w:val="21"/>
              </w:rPr>
              <w:t>目标的数据分析</w:t>
            </w:r>
            <w:r>
              <w:rPr>
                <w:rFonts w:hint="eastAsia" w:ascii="宋体" w:hAnsi="宋体" w:cs="宋体"/>
                <w:color w:val="000000"/>
                <w:kern w:val="0"/>
                <w:szCs w:val="21"/>
                <w:lang w:val="en-US" w:eastAsia="zh-CN"/>
              </w:rPr>
              <w:t>来源不充分，数据</w:t>
            </w:r>
            <w:r>
              <w:rPr>
                <w:rFonts w:hint="eastAsia" w:ascii="宋体" w:hAnsi="宋体" w:cs="宋体"/>
                <w:color w:val="000000"/>
                <w:kern w:val="0"/>
                <w:szCs w:val="21"/>
              </w:rPr>
              <w:t>利用不到位</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已交流。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w:t>
            </w:r>
            <w:r>
              <w:rPr>
                <w:rFonts w:hint="eastAsia" w:ascii="宋体" w:hAnsi="宋体" w:cs="宋体"/>
                <w:color w:val="000000" w:themeColor="text1"/>
                <w:lang w:val="en-US" w:eastAsia="zh-CN"/>
              </w:rPr>
              <w:t>基本</w:t>
            </w:r>
            <w:r>
              <w:rPr>
                <w:rFonts w:hint="eastAsia" w:ascii="宋体" w:hAnsi="宋体" w:cs="宋体"/>
                <w:color w:val="000000" w:themeColor="text1"/>
              </w:rPr>
              <w:t>是有效的。</w:t>
            </w:r>
            <w:r>
              <w:rPr>
                <w:rFonts w:hint="eastAsia" w:ascii="宋体" w:hAnsi="宋体" w:cs="宋体"/>
                <w:color w:val="000000" w:themeColor="text1"/>
                <w:lang w:val="en-US" w:eastAsia="zh-CN"/>
              </w:rPr>
              <w:t>但</w:t>
            </w:r>
            <w:r>
              <w:rPr>
                <w:rFonts w:hint="eastAsia" w:ascii="宋体" w:hAnsi="宋体" w:cs="宋体"/>
                <w:color w:val="000000" w:themeColor="text1"/>
              </w:rPr>
              <w:t>组织</w:t>
            </w:r>
            <w:r>
              <w:rPr>
                <w:rFonts w:hint="eastAsia" w:ascii="宋体" w:hAnsi="宋体" w:cs="宋体"/>
                <w:color w:val="000000" w:themeColor="text1"/>
                <w:lang w:val="en-US" w:eastAsia="zh-CN"/>
              </w:rPr>
              <w:t>运行</w:t>
            </w:r>
            <w:r>
              <w:rPr>
                <w:rFonts w:hint="eastAsia" w:ascii="宋体" w:hAnsi="宋体" w:cs="宋体"/>
                <w:color w:val="000000" w:themeColor="text1"/>
              </w:rPr>
              <w:t>记录填写</w:t>
            </w:r>
            <w:r>
              <w:rPr>
                <w:rFonts w:hint="eastAsia" w:ascii="宋体" w:hAnsi="宋体" w:cs="宋体"/>
                <w:color w:val="000000" w:themeColor="text1"/>
                <w:lang w:val="en-US" w:eastAsia="zh-CN"/>
              </w:rPr>
              <w:t>欠</w:t>
            </w:r>
            <w:r>
              <w:rPr>
                <w:rFonts w:hint="eastAsia" w:ascii="宋体" w:hAnsi="宋体" w:cs="宋体"/>
                <w:color w:val="000000" w:themeColor="text1"/>
              </w:rPr>
              <w:t>完整、信息</w:t>
            </w:r>
            <w:r>
              <w:rPr>
                <w:rFonts w:hint="eastAsia" w:ascii="宋体" w:hAnsi="宋体" w:cs="宋体"/>
                <w:color w:val="000000" w:themeColor="text1"/>
                <w:lang w:val="en-US" w:eastAsia="zh-CN"/>
              </w:rPr>
              <w:t>欠</w:t>
            </w:r>
            <w:r>
              <w:rPr>
                <w:rFonts w:hint="eastAsia" w:ascii="宋体" w:hAnsi="宋体" w:cs="宋体"/>
                <w:color w:val="000000" w:themeColor="text1"/>
              </w:rPr>
              <w:t>充分、</w:t>
            </w:r>
            <w:r>
              <w:rPr>
                <w:rFonts w:hint="eastAsia" w:ascii="宋体" w:hAnsi="宋体" w:cs="宋体"/>
                <w:color w:val="000000" w:themeColor="text1"/>
                <w:lang w:val="en-US" w:eastAsia="zh-CN"/>
              </w:rPr>
              <w:t>已交流，</w:t>
            </w:r>
            <w:r>
              <w:rPr>
                <w:rFonts w:hint="eastAsia" w:ascii="宋体" w:hAnsi="宋体" w:cs="宋体"/>
                <w:color w:val="000000" w:themeColor="text1"/>
              </w:rPr>
              <w:t>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color w:val="000000"/>
                <w:spacing w:val="-10"/>
                <w:sz w:val="20"/>
                <w:szCs w:val="20"/>
              </w:rPr>
            </w:pPr>
            <w:r>
              <w:rPr>
                <w:rFonts w:hint="eastAsia" w:ascii="宋体" w:hAnsi="宋体" w:eastAsia="宋体" w:cs="宋体"/>
                <w:b w:val="0"/>
                <w:bCs w:val="0"/>
                <w:sz w:val="21"/>
                <w:szCs w:val="21"/>
                <w:lang w:val="en-US" w:eastAsia="zh-CN"/>
              </w:rPr>
              <w:t>户外写真机、</w:t>
            </w:r>
            <w:r>
              <w:rPr>
                <w:rFonts w:hint="eastAsia" w:ascii="宋体" w:hAnsi="宋体" w:eastAsia="宋体" w:cs="宋体"/>
                <w:b w:val="0"/>
                <w:bCs w:val="0"/>
                <w:color w:val="000000"/>
                <w:sz w:val="21"/>
                <w:szCs w:val="21"/>
                <w:lang w:val="en-US" w:eastAsia="zh-CN"/>
              </w:rPr>
              <w:t>户内写真机、佳能打印机、胶装机、</w:t>
            </w:r>
            <w:r>
              <w:rPr>
                <w:rFonts w:hint="eastAsia" w:ascii="宋体" w:hAnsi="宋体" w:eastAsia="宋体" w:cs="宋体"/>
                <w:b w:val="0"/>
                <w:bCs w:val="0"/>
                <w:sz w:val="21"/>
                <w:szCs w:val="21"/>
                <w:lang w:val="en-US" w:eastAsia="zh-CN"/>
              </w:rPr>
              <w:t>蓝图折图机、电焊机、切割机、冲击钻、手电钻、手磨机、电镐、铆钉枪、热熔胶枪、结构胶枪、玻璃胶枪、气钉枪、</w:t>
            </w:r>
            <w:r>
              <w:rPr>
                <w:rFonts w:hint="eastAsia" w:ascii="宋体" w:hAnsi="宋体" w:eastAsia="宋体" w:cs="宋体"/>
                <w:b w:val="0"/>
                <w:bCs w:val="0"/>
                <w:sz w:val="21"/>
                <w:szCs w:val="21"/>
              </w:rPr>
              <w:t>电脑、打印机、投影仪、办公桌椅、档案橱、空调等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办公、培训场所和内设备布置合理，通道畅通，照明设施齐全，均配备了消防设施等设施。办公室明亮，培训场所光线较充足。每月由办公室对工作环境进行定期检查。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b/>
                <w:color w:val="000000" w:themeColor="text1"/>
                <w:sz w:val="20"/>
                <w:szCs w:val="20"/>
                <w:lang w:val="en-US"/>
              </w:rPr>
            </w:pPr>
            <w:r>
              <w:rPr>
                <w:rFonts w:hint="eastAsia"/>
                <w:b w:val="0"/>
                <w:bCs/>
                <w:sz w:val="21"/>
                <w:szCs w:val="21"/>
                <w:lang w:val="en-US" w:eastAsia="zh-CN"/>
              </w:rPr>
              <w:t>检测设备有：水平尺、钢卷尺等。</w:t>
            </w:r>
            <w:r>
              <w:rPr>
                <w:rFonts w:hint="eastAsia" w:ascii="方正仿宋简体" w:eastAsia="方正仿宋简体"/>
                <w:b w:val="0"/>
                <w:bCs/>
                <w:lang w:val="en-US" w:eastAsia="zh-CN"/>
              </w:rPr>
              <w:t>制作安装部不能提供</w:t>
            </w:r>
            <w:r>
              <w:rPr>
                <w:rFonts w:hint="eastAsia"/>
                <w:b w:val="0"/>
                <w:bCs/>
                <w:sz w:val="21"/>
                <w:szCs w:val="21"/>
                <w:lang w:val="en-US" w:eastAsia="zh-CN"/>
              </w:rPr>
              <w:t>水平尺、钢卷尺</w:t>
            </w:r>
            <w:r>
              <w:rPr>
                <w:rFonts w:hint="eastAsia" w:ascii="方正仿宋简体" w:eastAsia="方正仿宋简体"/>
                <w:b w:val="0"/>
                <w:bCs/>
                <w:lang w:val="en-US" w:eastAsia="zh-CN"/>
              </w:rPr>
              <w:t>检定（校准）证据，开具了不符合。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环保设施：</w:t>
            </w:r>
          </w:p>
          <w:p>
            <w:pPr>
              <w:spacing w:line="240" w:lineRule="exact"/>
              <w:ind w:firstLine="400" w:firstLineChars="200"/>
              <w:rPr>
                <w:rFonts w:ascii="宋体" w:hAnsi="宋体"/>
                <w:sz w:val="20"/>
                <w:szCs w:val="20"/>
              </w:rPr>
            </w:pPr>
            <w:r>
              <w:rPr>
                <w:rFonts w:hint="eastAsia" w:ascii="宋体" w:hAnsi="宋体"/>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ind w:firstLine="400" w:firstLineChars="200"/>
              <w:rPr>
                <w:rFonts w:ascii="宋体" w:hAnsi="宋体"/>
                <w:sz w:val="20"/>
                <w:szCs w:val="20"/>
              </w:rPr>
            </w:pPr>
            <w:r>
              <w:rPr>
                <w:rFonts w:hint="eastAsia" w:ascii="宋体" w:hAnsi="宋体"/>
                <w:sz w:val="20"/>
                <w:szCs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cs="宋体"/>
                <w:szCs w:val="21"/>
              </w:rPr>
            </w:pPr>
            <w:r>
              <w:rPr>
                <w:rFonts w:hint="eastAsia" w:ascii="宋体" w:hAnsi="宋体" w:cs="宋体"/>
                <w:szCs w:val="21"/>
              </w:rPr>
              <w:t>最高管理者组织制定了QEO方针：现行的方针在手册有专门的释议，具备适宜性。通过会议、张贴等方式进行传达宣贯，管理绩效表明其方针能够通过管理体系加以有效实施、实现及动态管理。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宋体" w:hAnsi="宋体" w:cs="宋体"/>
                <w:color w:val="000000"/>
                <w:szCs w:val="21"/>
              </w:rPr>
            </w:pPr>
            <w:r>
              <w:rPr>
                <w:rFonts w:hint="eastAsia" w:ascii="楷体_GB2312" w:eastAsia="楷体_GB2312"/>
                <w:b/>
                <w:color w:val="000000" w:themeColor="text1"/>
                <w:sz w:val="20"/>
                <w:szCs w:val="20"/>
              </w:rPr>
              <w:t>外部信息的接收、成文并答复的情况（E、S填写）：</w:t>
            </w:r>
            <w:r>
              <w:rPr>
                <w:rFonts w:hint="eastAsia" w:ascii="宋体" w:hAnsi="宋体" w:cs="宋体"/>
                <w:color w:val="000000"/>
                <w:szCs w:val="21"/>
              </w:rPr>
              <w:t>对会议通知和规定等登记处理。</w:t>
            </w: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Arial"/>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188"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auto"/>
              <w:ind w:firstLine="422" w:firstLineChars="200"/>
              <w:rPr>
                <w:rFonts w:hint="default"/>
                <w:b/>
                <w:color w:val="000000" w:themeColor="text1"/>
                <w:sz w:val="20"/>
                <w:szCs w:val="20"/>
                <w:lang w:val="en-US"/>
              </w:rPr>
            </w:pPr>
            <w:r>
              <w:rPr>
                <w:rFonts w:hint="eastAsia" w:asciiTheme="minorEastAsia" w:hAnsiTheme="minorEastAsia" w:eastAsiaTheme="minorEastAsia" w:cstheme="minorEastAsia"/>
                <w:b/>
                <w:bCs/>
                <w:szCs w:val="21"/>
              </w:rPr>
              <w:t>关键</w:t>
            </w:r>
            <w:r>
              <w:rPr>
                <w:rFonts w:hint="eastAsia" w:asciiTheme="minorEastAsia" w:hAnsiTheme="minorEastAsia" w:eastAsiaTheme="minorEastAsia" w:cstheme="minorEastAsia"/>
                <w:b/>
                <w:bCs/>
                <w:szCs w:val="21"/>
                <w:lang w:val="en-US" w:eastAsia="zh-CN"/>
              </w:rPr>
              <w:t>特殊</w:t>
            </w:r>
            <w:r>
              <w:rPr>
                <w:rFonts w:hint="eastAsia" w:asciiTheme="minorEastAsia" w:hAnsiTheme="minorEastAsia" w:eastAsiaTheme="minorEastAsia" w:cstheme="minorEastAsia"/>
                <w:b/>
                <w:bCs/>
                <w:szCs w:val="21"/>
              </w:rPr>
              <w:t>过程</w:t>
            </w:r>
            <w:r>
              <w:rPr>
                <w:rFonts w:hint="eastAsia" w:asciiTheme="minorEastAsia" w:hAnsiTheme="minorEastAsia" w:eastAsiaTheme="minorEastAsia" w:cstheme="minorEastAsia"/>
                <w:bCs/>
                <w:szCs w:val="21"/>
              </w:rPr>
              <w:t>：</w:t>
            </w:r>
            <w:r>
              <w:rPr>
                <w:rFonts w:hint="eastAsia" w:ascii="宋体" w:cs="宋体"/>
                <w:color w:val="000000"/>
                <w:kern w:val="0"/>
                <w:sz w:val="21"/>
                <w:szCs w:val="21"/>
                <w:u w:val="none"/>
                <w:lang w:eastAsia="zh-CN"/>
              </w:rPr>
              <w:t>设计开发过程、</w:t>
            </w:r>
            <w:r>
              <w:rPr>
                <w:rFonts w:hint="eastAsia" w:ascii="宋体" w:cs="宋体"/>
                <w:color w:val="000000"/>
                <w:kern w:val="0"/>
                <w:sz w:val="21"/>
                <w:szCs w:val="21"/>
                <w:u w:val="none"/>
                <w:lang w:val="en-US" w:eastAsia="zh-CN"/>
              </w:rPr>
              <w:t>焊接过程</w:t>
            </w:r>
            <w:r>
              <w:rPr>
                <w:rFonts w:hint="eastAsia" w:ascii="宋体" w:cs="宋体"/>
                <w:color w:val="000000"/>
                <w:kern w:val="0"/>
                <w:sz w:val="21"/>
                <w:szCs w:val="21"/>
                <w:u w:val="none"/>
                <w:lang w:eastAsia="zh-CN"/>
              </w:rPr>
              <w:t>。</w:t>
            </w:r>
            <w:r>
              <w:rPr>
                <w:rFonts w:hint="eastAsia" w:ascii="宋体" w:cs="宋体"/>
                <w:color w:val="000000"/>
                <w:kern w:val="0"/>
                <w:sz w:val="21"/>
                <w:szCs w:val="21"/>
                <w:u w:val="none"/>
                <w:lang w:val="en-US" w:eastAsia="zh-CN"/>
              </w:rPr>
              <w:t>制定了相应的作业指导书和操作规程。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制定并实施了检验控制规定，规定了公司各管理层次和检测部门在各阶段对产品服务质量实施检查与验收的管理要求。内容基本具备全面性、系统性及可操作性。质量检查与验收均</w:t>
            </w:r>
            <w:r>
              <w:rPr>
                <w:rFonts w:hint="eastAsia" w:ascii="宋体" w:hAnsi="宋体" w:cs="宋体"/>
                <w:color w:val="000000"/>
                <w:szCs w:val="21"/>
                <w:lang w:val="en-US" w:eastAsia="zh-CN"/>
              </w:rPr>
              <w:t>活动</w:t>
            </w:r>
            <w:r>
              <w:rPr>
                <w:rFonts w:hint="eastAsia" w:ascii="宋体" w:hAnsi="宋体" w:cs="宋体"/>
                <w:color w:val="000000"/>
                <w:szCs w:val="21"/>
              </w:rPr>
              <w:t>在</w:t>
            </w:r>
            <w:r>
              <w:rPr>
                <w:rFonts w:hint="eastAsia" w:ascii="宋体" w:hAnsi="宋体" w:cs="宋体"/>
                <w:color w:val="000000"/>
                <w:szCs w:val="21"/>
                <w:lang w:val="en-US"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pPr>
              <w:spacing w:before="120" w:line="240" w:lineRule="auto"/>
              <w:rPr>
                <w:b/>
                <w:color w:val="000000" w:themeColor="text1"/>
                <w:sz w:val="20"/>
                <w:szCs w:val="20"/>
              </w:rPr>
            </w:pPr>
            <w:r>
              <w:rPr>
                <w:rFonts w:hint="eastAsia" w:asciiTheme="minorEastAsia" w:hAnsiTheme="minorEastAsia" w:eastAsiaTheme="minorEastAsia"/>
                <w:bCs/>
                <w:iCs/>
              </w:rPr>
              <w:t>组织重要环境因素为固废排放</w:t>
            </w:r>
            <w:r>
              <w:rPr>
                <w:rFonts w:hint="eastAsia" w:asciiTheme="minorEastAsia" w:hAnsiTheme="minorEastAsia" w:eastAsiaTheme="minorEastAsia"/>
                <w:bCs/>
                <w:iCs/>
                <w:lang w:eastAsia="zh-CN"/>
              </w:rPr>
              <w:t>、</w:t>
            </w:r>
            <w:r>
              <w:rPr>
                <w:rFonts w:hint="eastAsia" w:asciiTheme="minorEastAsia" w:hAnsiTheme="minorEastAsia" w:eastAsiaTheme="minorEastAsia"/>
                <w:bCs/>
                <w:iCs/>
              </w:rPr>
              <w:t>火灾</w:t>
            </w:r>
            <w:r>
              <w:rPr>
                <w:rFonts w:hint="eastAsia" w:asciiTheme="minorEastAsia" w:hAnsiTheme="minorEastAsia" w:eastAsiaTheme="minorEastAsia"/>
                <w:bCs/>
                <w:iCs/>
                <w:lang w:eastAsia="zh-CN"/>
              </w:rPr>
              <w:t>、</w:t>
            </w:r>
            <w:r>
              <w:rPr>
                <w:rFonts w:hint="eastAsia" w:asciiTheme="minorEastAsia" w:hAnsiTheme="minorEastAsia" w:eastAsiaTheme="minorEastAsia"/>
                <w:bCs/>
                <w:iCs/>
                <w:lang w:val="en-US" w:eastAsia="zh-CN"/>
              </w:rPr>
              <w:t>能源的消耗，</w:t>
            </w:r>
            <w:r>
              <w:rPr>
                <w:rFonts w:hint="eastAsia" w:asciiTheme="minorEastAsia" w:hAnsiTheme="minorEastAsia" w:eastAsiaTheme="minor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潜在火灾的应急预案。</w:t>
            </w:r>
            <w:r>
              <w:rPr>
                <w:rFonts w:hint="eastAsia" w:ascii="方正仿宋简体" w:eastAsia="方正仿宋简体"/>
                <w:b w:val="0"/>
                <w:bCs/>
                <w:sz w:val="21"/>
                <w:szCs w:val="21"/>
                <w:lang w:val="en-US" w:eastAsia="zh-CN"/>
              </w:rPr>
              <w:t>办公室和仓库未放置灭火器，开具了不符合。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pPr>
              <w:tabs>
                <w:tab w:val="left" w:pos="2552"/>
              </w:tabs>
              <w:spacing w:line="360" w:lineRule="exact"/>
              <w:ind w:firstLine="420" w:firstLineChars="20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组织建立了危险源识别、评价控制程序，识别评价了危险源、风险相关的过程，评价出了重要危险源火灾、触电、高处坠落等，针对不可接受风险制定了管理方案。控制措施实施有效。</w:t>
            </w:r>
          </w:p>
          <w:p>
            <w:pPr>
              <w:spacing w:before="120" w:line="160" w:lineRule="exact"/>
              <w:rPr>
                <w:b/>
                <w:color w:val="000000" w:themeColor="text1"/>
                <w:sz w:val="20"/>
                <w:szCs w:val="20"/>
              </w:rPr>
            </w:pPr>
            <w:r>
              <w:rPr>
                <w:rFonts w:hint="eastAsia" w:ascii="方正仿宋简体" w:eastAsia="方正仿宋简体"/>
                <w:b w:val="0"/>
                <w:bCs/>
                <w:sz w:val="21"/>
                <w:szCs w:val="21"/>
                <w:lang w:val="en-US" w:eastAsia="zh-CN"/>
              </w:rPr>
              <w:t>办公室和仓库未放置灭火器，开具了不符合。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ind w:left="201" w:hanging="201" w:hangingChars="100"/>
              <w:rPr>
                <w:b/>
                <w:color w:val="000000" w:themeColor="text1"/>
                <w:sz w:val="20"/>
                <w:szCs w:val="20"/>
              </w:rPr>
            </w:pP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组织识别了紧急情况，应急准备和响应为潜在火灾、触电、</w:t>
            </w:r>
            <w:r>
              <w:rPr>
                <w:rFonts w:hint="eastAsia" w:asciiTheme="minorEastAsia" w:hAnsiTheme="minorEastAsia" w:eastAsiaTheme="minorEastAsia"/>
                <w:bCs/>
                <w:iCs/>
                <w:lang w:val="en-US" w:eastAsia="zh-CN"/>
              </w:rPr>
              <w:t>灼伤、</w:t>
            </w:r>
            <w:r>
              <w:rPr>
                <w:rFonts w:hint="eastAsia" w:asciiTheme="minorEastAsia" w:hAnsiTheme="minorEastAsia" w:eastAsiaTheme="minorEastAsia"/>
                <w:bCs/>
                <w:iCs/>
              </w:rPr>
              <w:t>物体打击、机械伤害、高处坠落等，识别合理、有效。</w:t>
            </w:r>
            <w:r>
              <w:rPr>
                <w:rFonts w:hint="eastAsia" w:asciiTheme="minorEastAsia" w:hAnsiTheme="minorEastAsia" w:eastAsiaTheme="minorEastAsia"/>
                <w:bCs/>
                <w:iCs/>
                <w:lang w:val="en-US" w:eastAsia="zh-CN"/>
              </w:rPr>
              <w:t>查到</w:t>
            </w:r>
            <w:r>
              <w:rPr>
                <w:rFonts w:hint="eastAsia"/>
                <w:sz w:val="21"/>
                <w:szCs w:val="21"/>
                <w:lang w:eastAsia="zh-CN"/>
              </w:rPr>
              <w:t>20</w:t>
            </w:r>
            <w:r>
              <w:rPr>
                <w:rFonts w:hint="eastAsia"/>
                <w:sz w:val="21"/>
                <w:szCs w:val="21"/>
                <w:lang w:val="en-US" w:eastAsia="zh-CN"/>
              </w:rPr>
              <w:t>20-7-15火灾应急</w:t>
            </w:r>
            <w:r>
              <w:rPr>
                <w:rFonts w:hint="eastAsia"/>
                <w:sz w:val="21"/>
                <w:szCs w:val="21"/>
              </w:rPr>
              <w:t>演练</w:t>
            </w:r>
            <w:r>
              <w:rPr>
                <w:rFonts w:hint="eastAsia" w:asciiTheme="minorEastAsia" w:hAnsiTheme="minorEastAsia" w:eastAsiaTheme="minorEastAsia"/>
                <w:bCs/>
                <w:iCs/>
              </w:rPr>
              <w:t>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rFonts w:hint="eastAsia"/>
                <w:b/>
                <w:sz w:val="20"/>
                <w:szCs w:val="20"/>
              </w:rPr>
              <w:t>（适用时）</w:t>
            </w:r>
          </w:p>
          <w:p>
            <w:pPr>
              <w:spacing w:line="240" w:lineRule="exact"/>
              <w:ind w:firstLine="400" w:firstLineChars="2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948"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00" w:hanging="105" w:hangingChars="50"/>
            </w:pPr>
            <w:r>
              <w:t>1. .</w:t>
            </w:r>
            <w:r>
              <w:rPr>
                <w:rFonts w:hint="eastAsia"/>
              </w:rPr>
              <w:t>对质量</w:t>
            </w:r>
            <w:r>
              <w:t>/</w:t>
            </w:r>
            <w:r>
              <w:rPr>
                <w:rFonts w:hint="eastAsia"/>
              </w:rPr>
              <w:t>环境</w:t>
            </w:r>
            <w:r>
              <w:t>/</w:t>
            </w:r>
            <w:r>
              <w:rPr>
                <w:rFonts w:hint="eastAsia"/>
              </w:rPr>
              <w:t>职业健康安全目标指标进行定期监测</w:t>
            </w:r>
            <w:r>
              <w:t>/</w:t>
            </w:r>
            <w:r>
              <w:rPr>
                <w:rFonts w:hint="eastAsia"/>
              </w:rPr>
              <w:t>检查情况（适用时）</w:t>
            </w:r>
          </w:p>
          <w:p>
            <w:pPr>
              <w:spacing w:line="240" w:lineRule="exact"/>
              <w:ind w:firstLine="315" w:firstLineChars="150"/>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lang w:val="en-US" w:eastAsia="zh-CN"/>
              </w:rPr>
              <w:t>20</w:t>
            </w:r>
            <w:r>
              <w:rPr>
                <w:rFonts w:hint="eastAsia"/>
              </w:rPr>
              <w:t>年</w:t>
            </w:r>
            <w:r>
              <w:rPr>
                <w:rFonts w:hint="eastAsia"/>
                <w:lang w:val="en-US" w:eastAsia="zh-CN"/>
              </w:rPr>
              <w:t>7</w:t>
            </w:r>
            <w:r>
              <w:rPr>
                <w:rFonts w:hint="eastAsia"/>
              </w:rPr>
              <w:t>-</w:t>
            </w:r>
            <w:r>
              <w:rPr>
                <w:rFonts w:hint="eastAsia"/>
                <w:lang w:val="en-US" w:eastAsia="zh-CN"/>
              </w:rPr>
              <w:t>12</w:t>
            </w:r>
            <w:r>
              <w:rPr>
                <w:rFonts w:hint="eastAsia"/>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outlineLvl w:val="9"/>
              <w:rPr>
                <w:color w:val="000000"/>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color w:val="000000"/>
                <w:sz w:val="21"/>
                <w:szCs w:val="21"/>
              </w:rPr>
              <w:t>提供《顾客满意度统计分析表》，顾客满意率达到9</w:t>
            </w:r>
            <w:r>
              <w:rPr>
                <w:rFonts w:hint="eastAsia"/>
                <w:color w:val="000000"/>
                <w:sz w:val="21"/>
                <w:szCs w:val="21"/>
                <w:lang w:val="en-US" w:eastAsia="zh-CN"/>
              </w:rPr>
              <w:t>7</w:t>
            </w:r>
            <w:r>
              <w:rPr>
                <w:rFonts w:hint="eastAsia"/>
                <w:color w:val="000000"/>
                <w:sz w:val="21"/>
                <w:szCs w:val="21"/>
              </w:rPr>
              <w:t>%，达到了质量目标的要求。</w:t>
            </w:r>
          </w:p>
          <w:p>
            <w:pPr>
              <w:spacing w:line="240" w:lineRule="exact"/>
              <w:ind w:left="105" w:leftChars="50" w:firstLine="315" w:firstLineChars="150"/>
              <w:rPr>
                <w:b/>
                <w:color w:val="000000" w:themeColor="text1"/>
                <w:sz w:val="20"/>
                <w:szCs w:val="20"/>
              </w:rPr>
            </w:pPr>
            <w:r>
              <w:rPr>
                <w:rFonts w:hint="eastAsia"/>
                <w:color w:val="000000"/>
                <w:sz w:val="21"/>
                <w:szCs w:val="21"/>
              </w:rPr>
              <w:t>调查未发现有顾客投诉</w:t>
            </w:r>
            <w:r>
              <w:rPr>
                <w:rFonts w:hint="eastAsia"/>
                <w:color w:val="000000"/>
                <w:sz w:val="21"/>
                <w:szCs w:val="21"/>
                <w:lang w:eastAsia="zh-CN"/>
              </w:rPr>
              <w:t>，不满意主要为价位偏高，公司根据市场同时加强管理降低成本适当降低售价，提高顾客满意度</w:t>
            </w: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rPr>
                <w:rFonts w:hint="default" w:ascii="宋体" w:hAnsi="宋体"/>
                <w:szCs w:val="21"/>
                <w:lang w:val="en-US"/>
              </w:rPr>
            </w:pPr>
            <w:r>
              <w:rPr>
                <w:rFonts w:hint="eastAsia" w:ascii="宋体" w:hAnsi="宋体"/>
                <w:b w:val="0"/>
                <w:bCs w:val="0"/>
                <w:sz w:val="21"/>
                <w:szCs w:val="21"/>
              </w:rPr>
              <w:t>建立有《内部审核控制程序》，规定了内审频次一年一次，内审时间：</w:t>
            </w:r>
            <w:r>
              <w:rPr>
                <w:rFonts w:ascii="宋体" w:hAnsi="宋体"/>
                <w:b w:val="0"/>
                <w:bCs w:val="0"/>
                <w:sz w:val="21"/>
                <w:szCs w:val="21"/>
              </w:rPr>
              <w:t>20</w:t>
            </w:r>
            <w:r>
              <w:rPr>
                <w:rFonts w:hint="eastAsia" w:ascii="宋体" w:hAnsi="宋体"/>
                <w:b w:val="0"/>
                <w:bCs w:val="0"/>
                <w:sz w:val="21"/>
                <w:szCs w:val="21"/>
                <w:lang w:val="en-US" w:eastAsia="zh-CN"/>
              </w:rPr>
              <w:t>20</w:t>
            </w:r>
            <w:r>
              <w:rPr>
                <w:rFonts w:hint="eastAsia" w:ascii="宋体" w:hAnsi="宋体"/>
                <w:b w:val="0"/>
                <w:bCs w:val="0"/>
                <w:sz w:val="21"/>
                <w:szCs w:val="21"/>
              </w:rPr>
              <w:t>年</w:t>
            </w:r>
            <w:r>
              <w:rPr>
                <w:rFonts w:hint="eastAsia" w:ascii="宋体" w:hAnsi="宋体"/>
                <w:b w:val="0"/>
                <w:bCs w:val="0"/>
                <w:sz w:val="21"/>
                <w:szCs w:val="21"/>
                <w:lang w:val="en-US" w:eastAsia="zh-CN"/>
              </w:rPr>
              <w:t>10</w:t>
            </w:r>
            <w:r>
              <w:rPr>
                <w:rFonts w:hint="eastAsia" w:ascii="宋体" w:hAnsi="宋体"/>
                <w:b w:val="0"/>
                <w:bCs w:val="0"/>
                <w:sz w:val="21"/>
                <w:szCs w:val="21"/>
              </w:rPr>
              <w:t>月</w:t>
            </w:r>
            <w:r>
              <w:rPr>
                <w:rFonts w:hint="eastAsia" w:ascii="宋体" w:hAnsi="宋体"/>
                <w:b w:val="0"/>
                <w:bCs w:val="0"/>
                <w:sz w:val="21"/>
                <w:szCs w:val="21"/>
                <w:lang w:val="en-US" w:eastAsia="zh-CN"/>
              </w:rPr>
              <w:t>10</w:t>
            </w:r>
            <w:r>
              <w:rPr>
                <w:rFonts w:hint="eastAsia" w:ascii="宋体" w:hAnsi="宋体"/>
                <w:b w:val="0"/>
                <w:bCs w:val="0"/>
                <w:sz w:val="21"/>
                <w:szCs w:val="21"/>
              </w:rPr>
              <w:t>-</w:t>
            </w:r>
            <w:r>
              <w:rPr>
                <w:rFonts w:hint="eastAsia" w:ascii="宋体" w:hAnsi="宋体"/>
                <w:b w:val="0"/>
                <w:bCs w:val="0"/>
                <w:sz w:val="21"/>
                <w:szCs w:val="21"/>
                <w:lang w:val="en-US" w:eastAsia="zh-CN"/>
              </w:rPr>
              <w:t>11</w:t>
            </w:r>
            <w:r>
              <w:rPr>
                <w:rFonts w:hint="eastAsia" w:ascii="宋体" w:hAnsi="宋体"/>
                <w:b w:val="0"/>
                <w:bCs w:val="0"/>
                <w:sz w:val="21"/>
                <w:szCs w:val="21"/>
              </w:rPr>
              <w:t>日，拟定了审核实施表，明确了内审范围，内审人员经培训合格上岗，能力满足要求。开具</w:t>
            </w:r>
            <w:r>
              <w:rPr>
                <w:rFonts w:hint="eastAsia" w:ascii="宋体" w:hAnsi="宋体"/>
                <w:b w:val="0"/>
                <w:bCs w:val="0"/>
                <w:sz w:val="21"/>
                <w:szCs w:val="21"/>
                <w:lang w:val="en-US" w:eastAsia="zh-CN"/>
              </w:rPr>
              <w:t>1</w:t>
            </w:r>
            <w:r>
              <w:rPr>
                <w:rFonts w:hint="eastAsia" w:ascii="宋体" w:hAnsi="宋体"/>
                <w:b w:val="0"/>
                <w:bCs w:val="0"/>
                <w:sz w:val="21"/>
                <w:szCs w:val="21"/>
              </w:rPr>
              <w:t>个不符合项报告：针对该不符合项，已及时采取纠正措施后，经内审员验证关闭。内审的有效性需要改善。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w:t>
            </w:r>
            <w:r>
              <w:rPr>
                <w:rFonts w:hint="eastAsia" w:ascii="宋体" w:hAnsi="宋体" w:cs="宋体"/>
                <w:szCs w:val="21"/>
                <w:lang w:val="en-US" w:eastAsia="zh-CN"/>
              </w:rPr>
              <w:t>规定</w:t>
            </w:r>
            <w:r>
              <w:rPr>
                <w:rFonts w:hint="eastAsia" w:ascii="宋体" w:hAnsi="宋体" w:cs="宋体"/>
                <w:szCs w:val="21"/>
              </w:rPr>
              <w:t>频次为一年一次、本次管理评审于</w:t>
            </w:r>
            <w:r>
              <w:rPr>
                <w:rFonts w:hint="eastAsia" w:ascii="宋体" w:hAnsi="宋体"/>
                <w:sz w:val="21"/>
                <w:szCs w:val="21"/>
              </w:rPr>
              <w:t>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10</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w:t>
            </w:r>
            <w:r>
              <w:rPr>
                <w:rFonts w:hint="eastAsia" w:ascii="宋体" w:hAnsi="宋体" w:cs="宋体"/>
                <w:szCs w:val="21"/>
                <w:lang w:val="en-US" w:eastAsia="zh-CN"/>
              </w:rPr>
              <w:t>欠</w:t>
            </w:r>
            <w:r>
              <w:rPr>
                <w:rFonts w:hint="eastAsia" w:ascii="宋体" w:hAnsi="宋体" w:cs="宋体"/>
                <w:szCs w:val="21"/>
              </w:rPr>
              <w:t>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320" w:lineRule="exact"/>
              <w:ind w:firstLine="420" w:firstLineChars="200"/>
              <w:rPr>
                <w:rFonts w:hint="eastAsia"/>
                <w:szCs w:val="21"/>
                <w:lang w:val="en-US" w:eastAsia="zh-CN"/>
              </w:rPr>
            </w:pPr>
          </w:p>
          <w:p>
            <w:pPr>
              <w:spacing w:line="320" w:lineRule="exact"/>
              <w:ind w:firstLine="422" w:firstLineChars="200"/>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rPr>
                <w:rFonts w:hint="default" w:eastAsia="宋体"/>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20" w:lineRule="exact"/>
              <w:rPr>
                <w:rFonts w:asciiTheme="minorEastAsia" w:hAnsiTheme="minorEastAsia" w:eastAsiaTheme="minorEastAsia"/>
                <w:b w:val="0"/>
                <w:bCs/>
                <w:szCs w:val="21"/>
              </w:rPr>
            </w:pPr>
            <w:r>
              <w:rPr>
                <w:rFonts w:hint="eastAsia" w:asciiTheme="minorEastAsia" w:hAnsiTheme="minorEastAsia" w:eastAsiaTheme="minorEastAsia"/>
                <w:b w:val="0"/>
                <w:bCs/>
                <w:szCs w:val="21"/>
              </w:rPr>
              <w:t>职业健康安全监测：每</w:t>
            </w:r>
            <w:r>
              <w:rPr>
                <w:rFonts w:hint="eastAsia" w:asciiTheme="minorEastAsia" w:hAnsiTheme="minorEastAsia" w:eastAsiaTheme="minorEastAsia"/>
                <w:b w:val="0"/>
                <w:bCs/>
                <w:szCs w:val="21"/>
                <w:lang w:val="en-US" w:eastAsia="zh-CN"/>
              </w:rPr>
              <w:t>月</w:t>
            </w:r>
            <w:r>
              <w:rPr>
                <w:rFonts w:hint="eastAsia" w:asciiTheme="minorEastAsia" w:hAnsiTheme="minorEastAsia" w:eastAsiaTheme="minorEastAsia"/>
                <w:b w:val="0"/>
                <w:bCs/>
                <w:szCs w:val="21"/>
              </w:rPr>
              <w:t>进行日常检查</w:t>
            </w:r>
            <w:r>
              <w:rPr>
                <w:rFonts w:hint="eastAsia" w:asciiTheme="minorEastAsia" w:hAnsiTheme="minorEastAsia" w:eastAsiaTheme="minorEastAsia"/>
                <w:b w:val="0"/>
                <w:bCs/>
                <w:szCs w:val="21"/>
                <w:lang w:eastAsia="zh-CN"/>
              </w:rPr>
              <w:t>、</w:t>
            </w:r>
            <w:r>
              <w:rPr>
                <w:rFonts w:hint="eastAsia" w:asciiTheme="minorEastAsia" w:hAnsiTheme="minorEastAsia" w:eastAsiaTheme="minorEastAsia"/>
                <w:b w:val="0"/>
                <w:bCs/>
                <w:szCs w:val="21"/>
                <w:lang w:val="en-US" w:eastAsia="zh-CN"/>
              </w:rPr>
              <w:t>员工体检。</w:t>
            </w:r>
            <w:r>
              <w:rPr>
                <w:rFonts w:hint="eastAsia" w:asciiTheme="minorEastAsia" w:hAnsiTheme="minorEastAsia" w:eastAsiaTheme="minorEastAsia"/>
                <w:b w:val="0"/>
                <w:bCs/>
                <w:szCs w:val="21"/>
              </w:rPr>
              <w:t>未发生不满足要求的情况。</w:t>
            </w:r>
          </w:p>
          <w:p>
            <w:pPr>
              <w:spacing w:line="240" w:lineRule="exact"/>
              <w:ind w:firstLine="402" w:firstLineChars="20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ind w:firstLine="402" w:firstLineChars="200"/>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8970"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ind w:firstLine="402" w:firstLineChars="200"/>
              <w:rPr>
                <w:rFonts w:hint="eastAsia" w:eastAsia="宋体"/>
                <w:b/>
                <w:sz w:val="20"/>
                <w:szCs w:val="20"/>
                <w:lang w:val="en-US" w:eastAsia="zh-CN"/>
              </w:rPr>
            </w:pPr>
            <w:r>
              <w:rPr>
                <w:rFonts w:hint="eastAsia" w:eastAsia="宋体"/>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94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320" w:lineRule="exact"/>
              <w:ind w:firstLine="420" w:firstLineChars="200"/>
              <w:rPr>
                <w:rFonts w:ascii="宋体" w:hAnsi="宋体"/>
                <w:b w:val="0"/>
                <w:bCs w:val="0"/>
                <w:szCs w:val="21"/>
              </w:rPr>
            </w:pPr>
            <w:r>
              <w:rPr>
                <w:rFonts w:hint="eastAsia" w:ascii="宋体" w:hAnsi="宋体" w:cs="宋体"/>
                <w:b w:val="0"/>
                <w:bCs w:val="0"/>
                <w:color w:val="000000" w:themeColor="text1"/>
              </w:rPr>
              <w:t>公司明确通过对内、外审核结果、管理评审输出、监测和测量等活动中识别出</w:t>
            </w:r>
            <w:r>
              <w:rPr>
                <w:rFonts w:hint="eastAsia" w:ascii="宋体" w:hAnsi="宋体"/>
                <w:b w:val="0"/>
                <w:bCs w:val="0"/>
                <w:color w:val="000000" w:themeColor="text1"/>
              </w:rPr>
              <w:t>在产品</w:t>
            </w:r>
            <w:r>
              <w:rPr>
                <w:rFonts w:hint="eastAsia" w:ascii="宋体" w:hAnsi="宋体"/>
                <w:b w:val="0"/>
                <w:bCs w:val="0"/>
                <w:color w:val="000000" w:themeColor="text1"/>
                <w:lang w:val="en-US" w:eastAsia="zh-CN"/>
              </w:rPr>
              <w:t>生产</w:t>
            </w:r>
            <w:r>
              <w:rPr>
                <w:rFonts w:hint="eastAsia" w:ascii="宋体" w:hAnsi="宋体"/>
                <w:b w:val="0"/>
                <w:bCs w:val="0"/>
                <w:color w:val="000000" w:themeColor="text1"/>
              </w:rPr>
              <w:t>/</w:t>
            </w:r>
            <w:r>
              <w:rPr>
                <w:rFonts w:hint="eastAsia" w:ascii="宋体" w:hAnsi="宋体"/>
                <w:b w:val="0"/>
                <w:bCs w:val="0"/>
                <w:color w:val="000000" w:themeColor="text1"/>
                <w:lang w:val="en-US" w:eastAsia="zh-CN"/>
              </w:rPr>
              <w:t>销售</w:t>
            </w:r>
            <w:r>
              <w:rPr>
                <w:rFonts w:hint="eastAsia" w:ascii="宋体" w:hAnsi="宋体"/>
                <w:b w:val="0"/>
                <w:bCs w:val="0"/>
                <w:color w:val="000000" w:themeColor="text1"/>
              </w:rPr>
              <w:t>过程、管理体系等方面</w:t>
            </w:r>
            <w:r>
              <w:rPr>
                <w:rFonts w:hint="eastAsia" w:ascii="宋体" w:hAnsi="宋体" w:cs="宋体"/>
                <w:b w:val="0"/>
                <w:bCs w:val="0"/>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b w:val="0"/>
                <w:bCs w:val="0"/>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ind w:firstLine="322" w:firstLineChars="200"/>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r>
              <w:rPr>
                <w:rFonts w:hint="eastAsia" w:eastAsia="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ind w:firstLine="402" w:firstLineChars="200"/>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8970"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p>
            <w:pPr>
              <w:spacing w:line="240" w:lineRule="exact"/>
              <w:ind w:firstLine="422" w:firstLineChars="200"/>
              <w:rPr>
                <w:b/>
                <w:color w:val="000000" w:themeColor="text1"/>
                <w:szCs w:val="21"/>
              </w:rPr>
            </w:pPr>
            <w:r>
              <w:rPr>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b/>
        </w:rPr>
        <w:t xml:space="preserve">1. </w:t>
      </w:r>
      <w:r>
        <w:rPr>
          <w:rFonts w:hint="eastAsia"/>
          <w:b/>
        </w:rPr>
        <w:t>本次审核共开具不符合项报告</w:t>
      </w:r>
      <w:r>
        <w:rPr>
          <w:rFonts w:hint="eastAsia"/>
          <w:b/>
          <w:lang w:val="en-US" w:eastAsia="zh-CN"/>
        </w:rPr>
        <w:t>3</w:t>
      </w:r>
      <w:r>
        <w:rPr>
          <w:rFonts w:hint="eastAsia"/>
          <w:b/>
        </w:rPr>
        <w:t>项；其中</w:t>
      </w:r>
      <w:r>
        <w:pict>
          <v:line id="_x0000_s2052" o:spid="_x0000_s2052" o:spt="20" style="position:absolute;left:0pt;margin-left:210pt;margin-top:16.2pt;height:0pt;width:0pt;z-index:251677696;mso-width-relative:page;mso-height-relative:page;" coordsize="21600,21600" o:allowincell="f">
            <v:path arrowok="t"/>
            <v:fill focussize="0,0"/>
            <v:stroke/>
            <v:imagedata o:title=""/>
            <o:lock v:ext="edit"/>
          </v:line>
        </w:pict>
      </w:r>
      <w:r>
        <w:rPr>
          <w:rFonts w:hint="eastAsia"/>
          <w:b/>
        </w:rPr>
        <w:t>严</w:t>
      </w:r>
      <w:r>
        <w:rPr>
          <w:rFonts w:hint="eastAsia"/>
          <w:b/>
          <w:color w:val="auto"/>
        </w:rPr>
        <w:t>重不符合</w:t>
      </w:r>
      <w:r>
        <w:rPr>
          <w:b/>
          <w:color w:val="auto"/>
        </w:rPr>
        <w:t>0</w:t>
      </w:r>
      <w:r>
        <w:rPr>
          <w:rFonts w:hint="eastAsia"/>
          <w:b/>
          <w:color w:val="auto"/>
        </w:rPr>
        <w:t>项，一般不符合</w:t>
      </w:r>
      <w:r>
        <w:rPr>
          <w:rFonts w:hint="eastAsia"/>
          <w:b/>
          <w:color w:val="auto"/>
          <w:lang w:val="en-US" w:eastAsia="zh-CN"/>
        </w:rPr>
        <w:t>3</w:t>
      </w:r>
      <w:r>
        <w:rPr>
          <w:rFonts w:hint="eastAsia"/>
          <w:b/>
          <w:color w:val="auto"/>
        </w:rPr>
        <w:t>项，观察项项.不符合项分布</w:t>
      </w:r>
      <w:r>
        <w:rPr>
          <w:b/>
          <w:color w:val="auto"/>
        </w:rPr>
        <w:t>在</w:t>
      </w:r>
      <w:r>
        <w:rPr>
          <w:rFonts w:hint="eastAsia"/>
          <w:b/>
          <w:color w:val="auto"/>
        </w:rPr>
        <w:t>1）</w:t>
      </w:r>
      <w:r>
        <w:rPr>
          <w:rFonts w:hint="eastAsia"/>
          <w:b/>
          <w:color w:val="auto"/>
          <w:lang w:val="en-US" w:eastAsia="zh-CN"/>
        </w:rPr>
        <w:t>制作安装</w:t>
      </w:r>
      <w:r>
        <w:rPr>
          <w:rFonts w:hint="eastAsia"/>
          <w:b/>
          <w:color w:val="auto"/>
        </w:rPr>
        <w:t>部:</w:t>
      </w:r>
      <w:r>
        <w:rPr>
          <w:rFonts w:hint="eastAsia"/>
          <w:b/>
          <w:color w:val="auto"/>
          <w:lang w:val="en-US" w:eastAsia="zh-CN"/>
        </w:rPr>
        <w:t>1、</w:t>
      </w:r>
      <w:r>
        <w:rPr>
          <w:b/>
          <w:color w:val="auto"/>
        </w:rPr>
        <w:t>Q7.</w:t>
      </w:r>
      <w:r>
        <w:rPr>
          <w:rFonts w:hint="eastAsia"/>
          <w:b/>
          <w:color w:val="auto"/>
          <w:lang w:val="en-US" w:eastAsia="zh-CN"/>
        </w:rPr>
        <w:t>1.5  2、行政部</w:t>
      </w:r>
      <w:r>
        <w:rPr>
          <w:rFonts w:hint="eastAsia"/>
          <w:b/>
          <w:color w:val="auto"/>
        </w:rPr>
        <w:t>E</w:t>
      </w:r>
      <w:r>
        <w:rPr>
          <w:b/>
          <w:color w:val="auto"/>
        </w:rPr>
        <w:t>O</w:t>
      </w:r>
      <w:r>
        <w:rPr>
          <w:rFonts w:hint="eastAsia"/>
          <w:b/>
          <w:color w:val="auto"/>
          <w:lang w:val="en-US" w:eastAsia="zh-CN"/>
        </w:rPr>
        <w:t>8.1</w:t>
      </w:r>
      <w:r>
        <w:rPr>
          <w:rFonts w:hint="eastAsia"/>
          <w:b/>
          <w:color w:val="auto"/>
        </w:rPr>
        <w:t>条款，分布见附件。（</w:t>
      </w:r>
      <w:r>
        <w:rPr>
          <w:b/>
          <w:color w:val="auto"/>
        </w:rPr>
        <w:t>Q/J/E/S</w:t>
      </w:r>
      <w:r>
        <w:rPr>
          <w:rFonts w:hint="eastAsia"/>
          <w:b/>
          <w:color w:val="auto"/>
        </w:rPr>
        <w:t>分开填写）</w:t>
      </w:r>
    </w:p>
    <w:p>
      <w:pPr>
        <w:tabs>
          <w:tab w:val="left" w:pos="215"/>
          <w:tab w:val="left" w:pos="430"/>
        </w:tabs>
        <w:spacing w:line="360" w:lineRule="auto"/>
        <w:ind w:left="-190" w:leftChars="-472" w:hanging="801" w:hangingChars="380"/>
        <w:rPr>
          <w:b/>
        </w:rPr>
      </w:pPr>
      <w:r>
        <w:rPr>
          <w:b/>
          <w:bCs/>
          <w:szCs w:val="28"/>
        </w:rPr>
        <w:t xml:space="preserve">2. </w:t>
      </w:r>
      <w:r>
        <w:rPr>
          <w:rFonts w:hint="eastAsia"/>
          <w:b/>
          <w:bCs/>
          <w:szCs w:val="28"/>
        </w:rPr>
        <w:t>本次审核发现不符合及存在问题对管理体系实现目标的影响</w:t>
      </w:r>
      <w:r>
        <w:rPr>
          <w:rFonts w:hint="eastAsia"/>
          <w:b/>
          <w:spacing w:val="-10"/>
          <w:szCs w:val="21"/>
        </w:rPr>
        <w:t>□</w:t>
      </w:r>
      <w:r>
        <w:rPr>
          <w:rFonts w:hint="eastAsia"/>
          <w:b/>
        </w:rPr>
        <w:t>较大</w:t>
      </w:r>
      <w:r>
        <w:rPr>
          <w:rFonts w:hint="eastAsia" w:ascii="宋体" w:hAnsi="宋体"/>
          <w:b/>
          <w:spacing w:val="-10"/>
          <w:szCs w:val="21"/>
        </w:rPr>
        <w:t>■</w:t>
      </w:r>
      <w:r>
        <w:rPr>
          <w:rFonts w:hint="eastAsia"/>
          <w:b/>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b/>
                <w:color w:val="000000" w:themeColor="text1"/>
                <w:szCs w:val="21"/>
              </w:rPr>
            </w:pPr>
          </w:p>
        </w:tc>
      </w:tr>
    </w:tbl>
    <w:p>
      <w:pPr>
        <w:pStyle w:val="2"/>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12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10120" w:type="dxa"/>
            <w:tcBorders>
              <w:top w:val="single" w:color="auto" w:sz="4" w:space="0"/>
              <w:left w:val="single" w:color="auto" w:sz="4" w:space="0"/>
              <w:bottom w:val="single" w:color="auto" w:sz="4" w:space="0"/>
              <w:right w:val="single" w:color="auto" w:sz="4" w:space="0"/>
            </w:tcBorders>
          </w:tcPr>
          <w:p>
            <w:pPr>
              <w:spacing w:line="280" w:lineRule="exact"/>
              <w:rPr>
                <w:b/>
                <w:color w:val="000000" w:themeColor="text1"/>
                <w:spacing w:val="-10"/>
                <w:sz w:val="22"/>
                <w:szCs w:val="22"/>
              </w:rPr>
            </w:pPr>
            <w:r>
              <w:rPr>
                <w:b/>
                <w:color w:val="000000" w:themeColor="text1"/>
                <w:spacing w:val="-10"/>
                <w:sz w:val="22"/>
                <w:szCs w:val="22"/>
              </w:rPr>
              <w:t xml:space="preserve">1 </w:t>
            </w:r>
            <w:r>
              <w:rPr>
                <w:rFonts w:hint="eastAsia"/>
                <w:b/>
                <w:color w:val="000000" w:themeColor="text1"/>
                <w:spacing w:val="-10"/>
                <w:szCs w:val="21"/>
              </w:rPr>
              <w:sym w:font="Wingdings 2" w:char="0052"/>
            </w:r>
            <w:r>
              <w:rPr>
                <w:b/>
                <w:color w:val="000000" w:themeColor="text1"/>
                <w:spacing w:val="-10"/>
                <w:sz w:val="22"/>
                <w:szCs w:val="22"/>
              </w:rPr>
              <w:t xml:space="preserve">QMS    </w:t>
            </w:r>
            <w:r>
              <w:rPr>
                <w:rFonts w:hint="eastAsia"/>
                <w:b/>
                <w:color w:val="000000" w:themeColor="text1"/>
                <w:spacing w:val="-10"/>
                <w:szCs w:val="21"/>
              </w:rPr>
              <w:t>□</w:t>
            </w:r>
            <w:r>
              <w:rPr>
                <w:b/>
                <w:color w:val="000000" w:themeColor="text1"/>
                <w:spacing w:val="-10"/>
                <w:sz w:val="22"/>
                <w:szCs w:val="22"/>
              </w:rPr>
              <w:t xml:space="preserve">50430   </w:t>
            </w:r>
            <w:r>
              <w:rPr>
                <w:rFonts w:hint="eastAsia"/>
                <w:b/>
                <w:color w:val="000000" w:themeColor="text1"/>
                <w:spacing w:val="-10"/>
                <w:szCs w:val="21"/>
              </w:rPr>
              <w:sym w:font="Wingdings 2" w:char="0052"/>
            </w:r>
            <w:r>
              <w:rPr>
                <w:b/>
                <w:color w:val="000000" w:themeColor="text1"/>
                <w:spacing w:val="-10"/>
                <w:sz w:val="22"/>
                <w:szCs w:val="22"/>
              </w:rPr>
              <w:t xml:space="preserve">EMS </w:t>
            </w:r>
            <w:r>
              <w:rPr>
                <w:rFonts w:hint="eastAsia"/>
                <w:b/>
                <w:color w:val="000000" w:themeColor="text1"/>
                <w:spacing w:val="-10"/>
                <w:szCs w:val="21"/>
              </w:rPr>
              <w:sym w:font="Wingdings 2" w:char="0052"/>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pPr>
              <w:spacing w:line="280" w:lineRule="exact"/>
              <w:rPr>
                <w:b/>
                <w:color w:val="000000" w:themeColor="text1"/>
                <w:spacing w:val="-10"/>
                <w:sz w:val="22"/>
                <w:szCs w:val="22"/>
              </w:rPr>
            </w:pPr>
            <w:r>
              <w:rPr>
                <w:rFonts w:hint="eastAsia"/>
                <w:b/>
                <w:color w:val="000000" w:themeColor="text1"/>
                <w:spacing w:val="-10"/>
                <w:sz w:val="22"/>
                <w:szCs w:val="22"/>
              </w:rPr>
              <w:t>（</w:t>
            </w:r>
            <w:r>
              <w:rPr>
                <w:rFonts w:hint="eastAsia"/>
                <w:b w:val="0"/>
                <w:bCs/>
                <w:color w:val="000000" w:themeColor="text1"/>
                <w:spacing w:val="-10"/>
                <w:sz w:val="22"/>
                <w:szCs w:val="22"/>
              </w:rPr>
              <w:t>组织实施“过程控制”，满足标准要求和目标，向顾客提供稳定、合格产品，满足适用的质量</w:t>
            </w:r>
            <w:r>
              <w:rPr>
                <w:b w:val="0"/>
                <w:bCs/>
                <w:color w:val="000000" w:themeColor="text1"/>
                <w:spacing w:val="-10"/>
                <w:sz w:val="22"/>
                <w:szCs w:val="22"/>
              </w:rPr>
              <w:t>/</w:t>
            </w:r>
            <w:r>
              <w:rPr>
                <w:rFonts w:hint="eastAsia"/>
                <w:b w:val="0"/>
                <w:bCs/>
                <w:color w:val="000000" w:themeColor="text1"/>
                <w:spacing w:val="-10"/>
                <w:sz w:val="22"/>
                <w:szCs w:val="22"/>
              </w:rPr>
              <w:t>环境</w:t>
            </w:r>
            <w:r>
              <w:rPr>
                <w:b w:val="0"/>
                <w:bCs/>
                <w:color w:val="000000" w:themeColor="text1"/>
                <w:spacing w:val="-10"/>
                <w:sz w:val="22"/>
                <w:szCs w:val="22"/>
              </w:rPr>
              <w:t>/</w:t>
            </w:r>
            <w:r>
              <w:rPr>
                <w:rFonts w:hint="eastAsia"/>
                <w:b w:val="0"/>
                <w:bCs/>
                <w:color w:val="000000" w:themeColor="text1"/>
                <w:spacing w:val="-10"/>
                <w:sz w:val="22"/>
                <w:szCs w:val="22"/>
              </w:rPr>
              <w:t>职业健康安全法规要求，防止污染、重大事故和持续改进的情况以及对周边环境产生的影响，措施的有效性</w:t>
            </w:r>
            <w:r>
              <w:rPr>
                <w:rFonts w:hint="eastAsia"/>
                <w:b/>
                <w:color w:val="000000" w:themeColor="text1"/>
                <w:spacing w:val="-10"/>
                <w:sz w:val="22"/>
                <w:szCs w:val="22"/>
              </w:rPr>
              <w:t>）</w:t>
            </w:r>
          </w:p>
          <w:p>
            <w:pPr>
              <w:spacing w:line="280" w:lineRule="exact"/>
              <w:rPr>
                <w:b/>
                <w:color w:val="000000" w:themeColor="text1"/>
                <w:spacing w:val="-10"/>
                <w:sz w:val="22"/>
                <w:szCs w:val="22"/>
              </w:rPr>
            </w:pPr>
            <w:r>
              <w:rPr>
                <w:rFonts w:hint="eastAsia"/>
                <w:b/>
                <w:color w:val="000000" w:themeColor="text1"/>
                <w:spacing w:val="-10"/>
                <w:sz w:val="22"/>
                <w:szCs w:val="22"/>
              </w:rPr>
              <w:sym w:font="Wingdings 2" w:char="0052"/>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50430 </w:t>
            </w:r>
            <w:r>
              <w:rPr>
                <w:rFonts w:hint="eastAsia"/>
                <w:b/>
                <w:color w:val="000000" w:themeColor="text1"/>
                <w:spacing w:val="-10"/>
                <w:sz w:val="22"/>
                <w:szCs w:val="22"/>
              </w:rPr>
              <w:sym w:font="Wingdings 2" w:char="0052"/>
            </w:r>
            <w:r>
              <w:rPr>
                <w:b/>
                <w:color w:val="000000" w:themeColor="text1"/>
                <w:spacing w:val="-10"/>
                <w:sz w:val="22"/>
                <w:szCs w:val="22"/>
              </w:rPr>
              <w:t xml:space="preserve">EMS  </w:t>
            </w:r>
            <w:r>
              <w:rPr>
                <w:rFonts w:hint="eastAsia"/>
                <w:b/>
                <w:color w:val="000000" w:themeColor="text1"/>
                <w:spacing w:val="-10"/>
                <w:sz w:val="22"/>
                <w:szCs w:val="22"/>
              </w:rPr>
              <w:sym w:font="Wingdings 2" w:char="0052"/>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pPr>
              <w:spacing w:line="240" w:lineRule="exact"/>
              <w:rPr>
                <w:b/>
                <w:color w:val="000000" w:themeColor="text1"/>
                <w:sz w:val="28"/>
                <w:szCs w:val="28"/>
              </w:rPr>
            </w:pPr>
            <w:r>
              <w:rPr>
                <w:rFonts w:hint="eastAsia"/>
                <w:b w:val="0"/>
                <w:bCs/>
                <w:color w:val="000000" w:themeColor="text1"/>
                <w:spacing w:val="-10"/>
                <w:sz w:val="22"/>
                <w:szCs w:val="22"/>
              </w:rPr>
              <w:t>该公司建立并实施的质量、环境、职业健康安全管理体系基本符合标准要求，对可能存在的重要风险基本可以得到有效控制，</w:t>
            </w:r>
            <w:r>
              <w:rPr>
                <w:rFonts w:hint="eastAsia"/>
                <w:b w:val="0"/>
                <w:bCs/>
                <w:color w:val="000000" w:themeColor="text1"/>
                <w:spacing w:val="-10"/>
                <w:sz w:val="22"/>
                <w:szCs w:val="22"/>
                <w:lang w:val="en-US" w:eastAsia="zh-CN"/>
              </w:rPr>
              <w:t>产品</w:t>
            </w:r>
            <w:r>
              <w:rPr>
                <w:rFonts w:hint="eastAsia"/>
                <w:b w:val="0"/>
                <w:bCs/>
                <w:color w:val="000000" w:themeColor="text1"/>
                <w:spacing w:val="-10"/>
                <w:sz w:val="22"/>
                <w:szCs w:val="22"/>
              </w:rPr>
              <w:t>质量稳定，没有出现过质量、环境和职业健康安全事故以及顾客投诉等事件，该公司初步建立了自我完善和自我改进机制，管理体系运行基本有效。现场开具的</w:t>
            </w:r>
            <w:r>
              <w:rPr>
                <w:rFonts w:hint="eastAsia"/>
                <w:b w:val="0"/>
                <w:bCs/>
                <w:color w:val="000000" w:themeColor="text1"/>
                <w:spacing w:val="-10"/>
                <w:sz w:val="22"/>
                <w:szCs w:val="22"/>
                <w:lang w:val="en-US" w:eastAsia="zh-CN"/>
              </w:rPr>
              <w:t>3</w:t>
            </w:r>
            <w:r>
              <w:rPr>
                <w:rFonts w:hint="eastAsia"/>
                <w:b w:val="0"/>
                <w:bCs/>
                <w:color w:val="000000" w:themeColor="text1"/>
                <w:spacing w:val="-10"/>
                <w:sz w:val="22"/>
                <w:szCs w:val="22"/>
              </w:rPr>
              <w:t>项一般不符合在规定的期限内采取纠正措施并经审核组书面验证有效，同意推荐该公司质量、环境、管理体系认证注册。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0120" w:type="dxa"/>
            <w:tcBorders>
              <w:top w:val="single" w:color="auto" w:sz="4" w:space="0"/>
              <w:left w:val="single" w:color="auto" w:sz="4" w:space="0"/>
              <w:bottom w:val="single" w:color="auto" w:sz="4" w:space="0"/>
              <w:right w:val="single" w:color="auto" w:sz="4" w:space="0"/>
            </w:tcBorders>
          </w:tcPr>
          <w:p>
            <w:pPr>
              <w:rPr>
                <w:b/>
                <w:color w:val="000000" w:themeColor="text1"/>
              </w:rPr>
            </w:pPr>
            <w:r>
              <w:rPr>
                <w:b/>
                <w:color w:val="000000" w:themeColor="text1"/>
              </w:rPr>
              <w:t>2.</w:t>
            </w:r>
            <w:r>
              <w:rPr>
                <w:rFonts w:hint="eastAsia"/>
                <w:b/>
                <w:color w:val="000000" w:themeColor="text1"/>
              </w:rPr>
              <w:t>对审核范围适宜性结论</w:t>
            </w:r>
          </w:p>
          <w:p>
            <w:pPr>
              <w:rPr>
                <w:b/>
                <w:color w:val="000000" w:themeColor="text1"/>
              </w:rPr>
            </w:pPr>
            <w:r>
              <w:rPr>
                <w:rFonts w:hint="eastAsia" w:ascii="宋体" w:hAnsi="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rPr>
                <w:rFonts w:ascii="宋体" w:hAnsi="宋体"/>
                <w:b/>
                <w:color w:val="000000" w:themeColor="text1"/>
                <w:u w:val="single"/>
              </w:rPr>
            </w:pPr>
            <w:r>
              <w:rPr>
                <w:rFonts w:hint="eastAsia" w:ascii="宋体" w:hAnsi="宋体"/>
                <w:b/>
                <w:color w:val="000000" w:themeColor="text1"/>
              </w:rPr>
              <w:t>QMS:</w:t>
            </w:r>
            <w:r>
              <w:rPr>
                <w:sz w:val="20"/>
              </w:rPr>
              <w:t>各类广告设计、制作、发布、代理</w:t>
            </w:r>
          </w:p>
          <w:p>
            <w:pPr>
              <w:rPr>
                <w:sz w:val="20"/>
              </w:rPr>
            </w:pPr>
            <w:r>
              <w:rPr>
                <w:rFonts w:hint="eastAsia" w:ascii="宋体" w:hAnsi="宋体"/>
                <w:b/>
                <w:color w:val="000000" w:themeColor="text1"/>
              </w:rPr>
              <w:t>EMS</w:t>
            </w:r>
            <w:r>
              <w:rPr>
                <w:rFonts w:hint="eastAsia" w:ascii="宋体" w:hAnsi="宋体"/>
                <w:b/>
                <w:color w:val="000000" w:themeColor="text1"/>
                <w:lang w:val="en-GB"/>
              </w:rPr>
              <w:t>:</w:t>
            </w:r>
            <w:r>
              <w:rPr>
                <w:sz w:val="20"/>
              </w:rPr>
              <w:t>各类广告设计、制作、发布、代理所涉及场所的相关环境管理活动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0"/>
              </w:rPr>
              <w:t>各类广告设计、制作、发布、代理所 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0120" w:type="dxa"/>
            <w:tcBorders>
              <w:top w:val="single" w:color="auto" w:sz="4" w:space="0"/>
              <w:left w:val="single" w:color="auto" w:sz="4" w:space="0"/>
              <w:bottom w:val="single" w:color="auto" w:sz="4" w:space="0"/>
              <w:right w:val="single" w:color="auto" w:sz="4" w:space="0"/>
            </w:tcBorders>
          </w:tcPr>
          <w:p>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10"/>
                <w:sz w:val="22"/>
                <w:szCs w:val="22"/>
              </w:rPr>
            </w:pPr>
            <w:r>
              <w:rPr>
                <w:rFonts w:hint="eastAsia" w:ascii="宋体" w:hAnsi="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ascii="宋体" w:hAnsi="宋体"/>
                <w:b/>
                <w:color w:val="000000" w:themeColor="text1"/>
                <w:spacing w:val="-10"/>
                <w:szCs w:val="21"/>
              </w:rPr>
              <w:t>■</w:t>
            </w:r>
            <w:r>
              <w:rPr>
                <w:b/>
                <w:color w:val="000000" w:themeColor="text1"/>
                <w:szCs w:val="21"/>
              </w:rPr>
              <w:t xml:space="preserve">QMS </w:t>
            </w:r>
            <w:r>
              <w:rPr>
                <w:rFonts w:hint="eastAsia" w:ascii="宋体" w:hAnsi="宋体"/>
                <w:b/>
                <w:color w:val="000000" w:themeColor="text1"/>
                <w:spacing w:val="-10"/>
                <w:szCs w:val="21"/>
              </w:rPr>
              <w:t>■</w:t>
            </w:r>
            <w:r>
              <w:rPr>
                <w:b/>
                <w:color w:val="000000" w:themeColor="text1"/>
                <w:szCs w:val="21"/>
              </w:rPr>
              <w:t xml:space="preserve">EMS  </w:t>
            </w:r>
            <w:r>
              <w:rPr>
                <w:rFonts w:hint="eastAsia" w:ascii="宋体" w:hAnsi="宋体"/>
                <w:b/>
                <w:color w:val="000000" w:themeColor="text1"/>
                <w:spacing w:val="-10"/>
                <w:szCs w:val="21"/>
              </w:rPr>
              <w:t>■</w:t>
            </w:r>
            <w:r>
              <w:rPr>
                <w:b/>
                <w:color w:val="000000" w:themeColor="text1"/>
                <w:szCs w:val="21"/>
              </w:rPr>
              <w:t>OHSMS  )</w:t>
            </w:r>
          </w:p>
          <w:p>
            <w:pPr>
              <w:rPr>
                <w:b/>
                <w:color w:val="000000" w:themeColor="text1"/>
                <w:spacing w:val="-4"/>
                <w:szCs w:val="21"/>
              </w:rPr>
            </w:pPr>
            <w:r>
              <w:rPr>
                <w:rFonts w:hint="eastAsia"/>
                <w:b/>
                <w:color w:val="000000" w:themeColor="text1"/>
                <w:spacing w:val="-10"/>
                <w:szCs w:val="21"/>
              </w:rPr>
              <w:sym w:font="Wingdings 2" w:char="00A3"/>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120" w:type="dxa"/>
            <w:tcBorders>
              <w:top w:val="single" w:color="auto" w:sz="4" w:space="0"/>
              <w:left w:val="nil"/>
              <w:bottom w:val="nil"/>
              <w:right w:val="nil"/>
            </w:tcBorders>
          </w:tcPr>
          <w:p>
            <w:pPr>
              <w:spacing w:line="360" w:lineRule="auto"/>
              <w:rPr>
                <w:b/>
                <w:color w:val="000000" w:themeColor="text1"/>
              </w:rPr>
            </w:pPr>
          </w:p>
        </w:tc>
      </w:tr>
    </w:tbl>
    <w:p>
      <w:pPr>
        <w:pStyle w:val="8"/>
        <w:spacing w:line="360" w:lineRule="auto"/>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一般不符合报告在</w:t>
      </w:r>
      <w:r>
        <w:rPr>
          <w:rFonts w:hint="eastAsia"/>
          <w:b/>
          <w:color w:val="000000" w:themeColor="text1"/>
          <w:lang w:val="en-US" w:eastAsia="zh-CN"/>
        </w:rPr>
        <w:t>10</w:t>
      </w:r>
      <w:r>
        <w:rPr>
          <w:rFonts w:hint="eastAsia"/>
          <w:b/>
          <w:color w:val="000000" w:themeColor="text1"/>
        </w:rPr>
        <w:t>天</w:t>
      </w:r>
      <w:r>
        <w:rPr>
          <w:b/>
          <w:color w:val="000000" w:themeColor="text1"/>
        </w:rPr>
        <w:t>/</w:t>
      </w:r>
      <w:r>
        <w:rPr>
          <w:rFonts w:hint="eastAsia"/>
          <w:b/>
          <w:color w:val="000000" w:themeColor="text1"/>
        </w:rPr>
        <w:t>严重不符合在天针对不符合原因制定并实施纠正措施。验证方式见不符合项报告。</w:t>
      </w:r>
    </w:p>
    <w:p>
      <w:pPr>
        <w:numPr>
          <w:ilvl w:val="0"/>
          <w:numId w:val="3"/>
        </w:numPr>
        <w:spacing w:line="360" w:lineRule="auto"/>
        <w:ind w:left="-850" w:leftChars="-405" w:firstLine="560" w:firstLineChars="200"/>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rPr>
          <w:b/>
          <w:color w:val="000000" w:themeColor="text1"/>
          <w:sz w:val="16"/>
          <w:szCs w:val="16"/>
        </w:rPr>
      </w:pPr>
      <w:bookmarkStart w:id="22" w:name="_GoBack"/>
      <w:bookmarkEnd w:id="22"/>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1644650</wp:posOffset>
            </wp:positionH>
            <wp:positionV relativeFrom="paragraph">
              <wp:posOffset>185420</wp:posOffset>
            </wp:positionV>
            <wp:extent cx="847090" cy="713740"/>
            <wp:effectExtent l="0" t="0" r="3810" b="10160"/>
            <wp:wrapNone/>
            <wp:docPr id="3" name="图片 3"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7456" behindDoc="0" locked="0" layoutInCell="1" allowOverlap="1">
            <wp:simplePos x="0" y="0"/>
            <wp:positionH relativeFrom="column">
              <wp:posOffset>1539875</wp:posOffset>
            </wp:positionH>
            <wp:positionV relativeFrom="paragraph">
              <wp:posOffset>41910</wp:posOffset>
            </wp:positionV>
            <wp:extent cx="1270635" cy="610235"/>
            <wp:effectExtent l="0" t="0" r="0" b="0"/>
            <wp:wrapNone/>
            <wp:docPr id="4" name="图片 4" descr="8cad41b974be0e45fa41b9f6e57d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cad41b974be0e45fa41b9f6e57dd83"/>
                    <pic:cNvPicPr>
                      <a:picLocks noChangeAspect="1"/>
                    </pic:cNvPicPr>
                  </pic:nvPicPr>
                  <pic:blipFill>
                    <a:blip r:embed="rId7"/>
                    <a:stretch>
                      <a:fillRect/>
                    </a:stretch>
                  </pic:blipFill>
                  <pic:spPr>
                    <a:xfrm>
                      <a:off x="0" y="0"/>
                      <a:ext cx="1270635" cy="61023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72576" behindDoc="0" locked="0" layoutInCell="1" allowOverlap="1">
            <wp:simplePos x="0" y="0"/>
            <wp:positionH relativeFrom="column">
              <wp:posOffset>723900</wp:posOffset>
            </wp:positionH>
            <wp:positionV relativeFrom="paragraph">
              <wp:posOffset>27305</wp:posOffset>
            </wp:positionV>
            <wp:extent cx="847090" cy="713740"/>
            <wp:effectExtent l="0" t="0" r="3810" b="10160"/>
            <wp:wrapNone/>
            <wp:docPr id="5" name="图片 5"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1</w:t>
      </w:r>
      <w:r>
        <w:rPr>
          <w:rFonts w:hint="eastAsia"/>
          <w:b/>
          <w:color w:val="000000" w:themeColor="text1"/>
          <w:szCs w:val="21"/>
        </w:rPr>
        <w:t>月</w:t>
      </w:r>
      <w:r>
        <w:rPr>
          <w:rFonts w:hint="eastAsia"/>
          <w:b/>
          <w:color w:val="000000" w:themeColor="text1"/>
          <w:szCs w:val="21"/>
          <w:lang w:val="en-US" w:eastAsia="zh-CN"/>
        </w:rPr>
        <w:t xml:space="preserve">  21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3">
    <w:nsid w:val="76DCA2E3"/>
    <w:multiLevelType w:val="singleLevel"/>
    <w:tmpl w:val="76DCA2E3"/>
    <w:lvl w:ilvl="0" w:tentative="0">
      <w:start w:val="13"/>
      <w:numFmt w:val="chineseCounting"/>
      <w:suff w:val="space"/>
      <w:lvlText w:val="%1、"/>
      <w:lvlJc w:val="left"/>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7D7CA1"/>
    <w:rsid w:val="4C501DC6"/>
    <w:rsid w:val="7A673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AutoShape 8"/>
        <o:r id="V:Rule2" type="connector" idref="#AutoShape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title3"/>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2021-01-19T06:57:26Z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