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赣州市三维广告传媒有限公司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0690-2020-QEO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段冬梅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18379713776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1045786488@qq.com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Q：各类广告设计、制作、发布、代理</w:t>
            </w:r>
          </w:p>
          <w:p>
            <w:r>
              <w:t>E：各类广告设计、制作、发布、代理所涉及场所的相关环境管理活动</w:t>
            </w:r>
          </w:p>
          <w:p>
            <w:r>
              <w:t>O：各类广告设计、制作、发布、代理所 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Q：35.05.01</w:t>
            </w:r>
          </w:p>
          <w:p>
            <w:r>
              <w:t>E：35.05.01</w:t>
            </w:r>
          </w:p>
          <w:p>
            <w:r>
              <w:t>O：35.05.01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2021年01月15日 上午至2021年01月16日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舒健斌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13979702128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  <w:bookmarkStart w:id="14" w:name="_GoBack"/>
      <w:bookmarkEnd w:id="14"/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0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8:30-12:00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确定认证范围和经营场所、生产场所及在建项目；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B5EF1"/>
    <w:rsid w:val="532F6544"/>
    <w:rsid w:val="543D14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7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2021-01-20T03:08:49Z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