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南京申瑞电气系统控制有限公司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南京市江宁区福英路1001号联东U谷2号楼（江宁高新园）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张小民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13913918482 025-51181010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211100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r>
              <w:t>025-51181000</w:t>
            </w:r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xiaomin.zhang@icpc.cn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0760-</w:t>
            </w:r>
            <w:r>
              <w:rPr>
                <w:rFonts w:hint="eastAsia"/>
                <w:sz w:val="20"/>
                <w:lang w:eastAsia="zh-CN"/>
              </w:rPr>
              <w:t>2021</w:t>
            </w:r>
            <w:r>
              <w:rPr>
                <w:sz w:val="20"/>
              </w:rPr>
              <w:t>-EO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E：系统集成服务，应用软件的开发服务，GER系列自动化控制设备的开发、生产、技术服务所涉及的相关环境管理活动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O：系统集成服务，应用软件的开发服务，GER系列自动化控制设备的开发、生产、技术服务所涉及的相关职业健康安全管理活动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E：18.05.07;33.02.01;33.02.02;34.06.00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O：18.05.07;33.02.01;33.02.02;34.06.00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24001-2016/ISO14001:2015,O：GB/T45001-</w:t>
            </w:r>
            <w:r>
              <w:rPr>
                <w:rFonts w:hint="eastAsia"/>
                <w:b/>
                <w:sz w:val="20"/>
                <w:lang w:val="de-DE" w:eastAsia="zh-CN"/>
              </w:rPr>
              <w:t>2021</w:t>
            </w:r>
            <w:r>
              <w:rPr>
                <w:rFonts w:hint="eastAsia"/>
                <w:b/>
                <w:sz w:val="20"/>
                <w:lang w:val="de-DE"/>
              </w:rPr>
              <w:t xml:space="preserve">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2021年01月17日 上午至2021年01月20日 下午 (共4.0天)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E:18.05.07,33.02.01,33.02.02,34.06.00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O:18.05.07,33.02.01,33.02.02,34.06.00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18697572785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050"/>
        <w:gridCol w:w="760"/>
        <w:gridCol w:w="4390"/>
        <w:gridCol w:w="2370"/>
        <w:gridCol w:w="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3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7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3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3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2021.1.17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0～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</w:t>
            </w:r>
          </w:p>
        </w:tc>
        <w:tc>
          <w:tcPr>
            <w:tcW w:w="752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7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10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2021.1.17</w:t>
            </w:r>
          </w:p>
        </w:tc>
        <w:tc>
          <w:tcPr>
            <w:tcW w:w="1050" w:type="dxa"/>
          </w:tcPr>
          <w:p>
            <w:pPr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09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0～</w:t>
            </w:r>
            <w:r>
              <w:rPr>
                <w:rFonts w:hint="eastAsia"/>
                <w:lang w:val="en-US" w:eastAsia="zh-CN"/>
              </w:rPr>
              <w:t>17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  <w:p>
            <w:pPr>
              <w:pStyle w:val="2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12: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0～1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午餐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）</w:t>
            </w:r>
          </w:p>
          <w:p>
            <w:pPr>
              <w:pStyle w:val="2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</w:rPr>
              <w:t>领导层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含财务）</w:t>
            </w:r>
          </w:p>
        </w:tc>
        <w:tc>
          <w:tcPr>
            <w:tcW w:w="4390" w:type="dxa"/>
            <w:vAlign w:val="top"/>
          </w:tcPr>
          <w:p>
            <w:pPr>
              <w:spacing w:after="4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最高管理者，体系主管部门负责人：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、重大投诉处理、重大体系事故和变更管理、应急准备和响应，应急预案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资质情况。</w:t>
            </w:r>
          </w:p>
        </w:tc>
        <w:tc>
          <w:tcPr>
            <w:tcW w:w="2370" w:type="dxa"/>
            <w:vAlign w:val="top"/>
          </w:tcPr>
          <w:p>
            <w:pPr>
              <w:pStyle w:val="2"/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E：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4.1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4.4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5.1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5.3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6.1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6.2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7.1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7.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3/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9.3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10.1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O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:4.1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4.4/5.1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5.4/6.1/6.2/7.1/7.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3/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9.3/10.1/10.3</w:t>
            </w:r>
          </w:p>
        </w:tc>
        <w:tc>
          <w:tcPr>
            <w:tcW w:w="7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0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2021.1.18</w:t>
            </w:r>
          </w:p>
        </w:tc>
        <w:tc>
          <w:tcPr>
            <w:tcW w:w="1050" w:type="dxa"/>
          </w:tcPr>
          <w:p>
            <w:pPr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0～</w:t>
            </w:r>
            <w:r>
              <w:rPr>
                <w:rFonts w:hint="eastAsia"/>
                <w:lang w:val="en-US" w:eastAsia="zh-CN"/>
              </w:rPr>
              <w:t>17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  <w:p>
            <w:pPr>
              <w:pStyle w:val="2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12: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0～1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午餐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）</w:t>
            </w:r>
          </w:p>
          <w:p>
            <w:pPr>
              <w:pStyle w:val="2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行政部</w:t>
            </w:r>
          </w:p>
          <w:p>
            <w:pPr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390" w:type="dxa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部门职责和权限；目标实现情况；部门职责的落实，人员聘用，组织知识、培训，能力、意识的培养；基础设施配置与管理；过程运行环境管理；企业知识管理的方法、措施及效果；沟通方式和内容，形成文件的信息；内部审核实施及有效性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分析控制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</w:p>
          <w:p>
            <w:pPr>
              <w:spacing w:after="40"/>
              <w:rPr>
                <w:rFonts w:hint="eastAsia" w:eastAsia="宋体" w:cs="Arial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b w:val="0"/>
                <w:bCs w:val="0"/>
                <w:sz w:val="18"/>
                <w:szCs w:val="18"/>
              </w:rPr>
              <w:t>环境因素和危险源辨识和评价；合规义务；控制措施；EMS和OHSMS的策划和运行；应急准备和响应、监视和测量、不符合控制、事故调查、内审和管理评审措施的跟踪、合规性评价</w:t>
            </w:r>
            <w:r>
              <w:rPr>
                <w:rFonts w:hint="eastAsia" w:cs="Arial"/>
                <w:b w:val="0"/>
                <w:bCs w:val="0"/>
                <w:sz w:val="18"/>
                <w:szCs w:val="18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三级安全教育</w:t>
            </w:r>
          </w:p>
          <w:p>
            <w:pPr>
              <w:spacing w:after="4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cs="Arial"/>
                <w:b w:val="0"/>
                <w:bCs w:val="0"/>
                <w:sz w:val="18"/>
                <w:szCs w:val="18"/>
              </w:rPr>
              <w:t>消防管理</w:t>
            </w:r>
            <w:r>
              <w:rPr>
                <w:rFonts w:hint="eastAsia" w:cs="Arial"/>
                <w:b w:val="0"/>
                <w:bCs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文件和记录管理；工作环境人力资源保障计划、人员健康管理、持证上岗人员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人员招聘、员工培训及有效性评价、特种作业人员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，（采购过程、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供方评价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370" w:type="dxa"/>
            <w:vAlign w:val="top"/>
          </w:tcPr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E:6.1.2/6.1.3/6.1.4/6.2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/7.2/7.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/7.5/8.1/8.2/9.1.1/9.1.2/9.2/10.2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O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：6.1.2/6.1.3/6.1.4/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6.2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/7.2/7.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/7.5/8.1/8.2/9.1.1/9.1.2/9.2/10.2</w:t>
            </w:r>
          </w:p>
        </w:tc>
        <w:tc>
          <w:tcPr>
            <w:tcW w:w="7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03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2021.1.19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0～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</w:t>
            </w:r>
          </w:p>
        </w:tc>
        <w:tc>
          <w:tcPr>
            <w:tcW w:w="760" w:type="dxa"/>
            <w:vAlign w:val="top"/>
          </w:tcPr>
          <w:p>
            <w:pPr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市场营销部</w:t>
            </w:r>
          </w:p>
        </w:tc>
        <w:tc>
          <w:tcPr>
            <w:tcW w:w="4390" w:type="dxa"/>
            <w:vAlign w:val="top"/>
          </w:tcPr>
          <w:p>
            <w:pPr>
              <w:spacing w:after="4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val="en-US" w:eastAsia="zh-CN"/>
              </w:rPr>
              <w:t>（产品服务的要求、与顾客有关的过程、产品交付、运输控制）及EHS运行</w:t>
            </w:r>
          </w:p>
        </w:tc>
        <w:tc>
          <w:tcPr>
            <w:tcW w:w="237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6.1.2/6.2/8.1/8.2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03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50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0～</w:t>
            </w:r>
            <w:r>
              <w:rPr>
                <w:rFonts w:hint="eastAsia"/>
                <w:lang w:val="en-US" w:eastAsia="zh-CN"/>
              </w:rPr>
              <w:t>17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  <w:p>
            <w:pPr>
              <w:pStyle w:val="2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12: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0～1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午餐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）</w:t>
            </w:r>
          </w:p>
          <w:p>
            <w:pPr>
              <w:pStyle w:val="2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60" w:type="dxa"/>
            <w:vAlign w:val="top"/>
          </w:tcPr>
          <w:p>
            <w:pP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生产工程部（含采购）</w:t>
            </w:r>
          </w:p>
        </w:tc>
        <w:tc>
          <w:tcPr>
            <w:tcW w:w="4390" w:type="dxa"/>
            <w:vAlign w:val="top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基础设施、</w:t>
            </w:r>
            <w:r>
              <w:rPr>
                <w:rFonts w:hint="eastAsia" w:ascii="宋体" w:hAnsi="宋体"/>
                <w:sz w:val="18"/>
                <w:szCs w:val="18"/>
              </w:rPr>
              <w:t>工作环境、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关键控制点的监视系统、可追溯性系统、潜在不符合品控制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及EHS运行</w:t>
            </w:r>
          </w:p>
        </w:tc>
        <w:tc>
          <w:tcPr>
            <w:tcW w:w="2370" w:type="dxa"/>
            <w:vAlign w:val="top"/>
          </w:tcPr>
          <w:p>
            <w:pPr>
              <w:pStyle w:val="14"/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E: 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eastAsia="zh-CN"/>
              </w:rPr>
              <w:t>6.1.2/6.2/8.1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eastAsia="zh-CN"/>
              </w:rPr>
              <w:t>/8.2/9.1.1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O: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eastAsia="zh-CN"/>
              </w:rPr>
              <w:t>6.1.2/6.2/8.1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(8.1.4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eastAsia="zh-CN"/>
              </w:rPr>
              <w:t>/8.2/9.1.1</w:t>
            </w:r>
          </w:p>
        </w:tc>
        <w:tc>
          <w:tcPr>
            <w:tcW w:w="7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03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2021.1.20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07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0～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</w:t>
            </w:r>
          </w:p>
        </w:tc>
        <w:tc>
          <w:tcPr>
            <w:tcW w:w="760" w:type="dxa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bookmarkStart w:id="17" w:name="_GoBack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技术开发部</w:t>
            </w:r>
          </w:p>
          <w:bookmarkEnd w:id="17"/>
          <w:p>
            <w:pPr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390" w:type="dxa"/>
            <w:vAlign w:val="top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职责和权限；分解到本部门目标实现情况；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设计开发及EHS运行</w:t>
            </w:r>
          </w:p>
          <w:p>
            <w:pPr>
              <w:spacing w:after="4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370" w:type="dxa"/>
            <w:vAlign w:val="top"/>
          </w:tcPr>
          <w:p>
            <w:pPr>
              <w:pStyle w:val="2"/>
              <w:rPr>
                <w:rFonts w:hint="eastAsia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6.1.2/6.2/8.1/8.2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03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50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0～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12: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0～1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午餐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）</w:t>
            </w:r>
          </w:p>
          <w:p>
            <w:pPr>
              <w:pStyle w:val="2"/>
            </w:pPr>
          </w:p>
        </w:tc>
        <w:tc>
          <w:tcPr>
            <w:tcW w:w="760" w:type="dxa"/>
            <w:vAlign w:val="top"/>
          </w:tcPr>
          <w:p>
            <w:pPr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质量管理部</w:t>
            </w:r>
          </w:p>
        </w:tc>
        <w:tc>
          <w:tcPr>
            <w:tcW w:w="4390" w:type="dxa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职责和权限；分解到本部门目标实现情况； 监视和测量设备；产品和服务的放行；不合格输出的控制、纠正措施、分析与评价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及EHS运行</w:t>
            </w:r>
          </w:p>
          <w:p>
            <w:pPr>
              <w:spacing w:after="4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37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EO:6.1.2/6.2/8.1/8.2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03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5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0～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</w:t>
            </w:r>
          </w:p>
        </w:tc>
        <w:tc>
          <w:tcPr>
            <w:tcW w:w="7520" w:type="dxa"/>
            <w:gridSpan w:val="3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3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240BAA"/>
    <w:rsid w:val="1AA53D66"/>
    <w:rsid w:val="1FC429D4"/>
    <w:rsid w:val="2D144900"/>
    <w:rsid w:val="580F40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widowControl/>
      <w:spacing w:before="40" w:after="40"/>
      <w:jc w:val="left"/>
    </w:pPr>
    <w:rPr>
      <w:rFonts w:ascii="Arial" w:hAnsi="Arial" w:eastAsia="Times New Roman"/>
      <w:kern w:val="0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弓长</cp:lastModifiedBy>
  <dcterms:modified xsi:type="dcterms:W3CDTF">2021-01-17T09:10:57Z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