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Theme="minorEastAsia" w:hAnsiTheme="minorEastAsia" w:eastAsiaTheme="minorEastAsia" w:cstheme="minorEastAsia"/>
          <w:bCs/>
          <w:color w:val="000000"/>
          <w:sz w:val="36"/>
          <w:szCs w:val="36"/>
        </w:rPr>
      </w:pPr>
      <w:r>
        <w:rPr>
          <w:rFonts w:hint="eastAsia" w:asciiTheme="minorEastAsia" w:hAnsiTheme="minorEastAsia" w:eastAsiaTheme="minorEastAsia" w:cstheme="minorEastAsia"/>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913"/>
        <w:gridCol w:w="11690"/>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84"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13" w:type="dxa"/>
            <w:vMerge w:val="restart"/>
            <w:vAlign w:val="center"/>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涉及</w:t>
            </w:r>
          </w:p>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条款</w:t>
            </w:r>
          </w:p>
        </w:tc>
        <w:tc>
          <w:tcPr>
            <w:tcW w:w="11690" w:type="dxa"/>
            <w:vAlign w:val="center"/>
          </w:tcPr>
          <w:p>
            <w:pP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受审核部门：管理层</w:t>
            </w:r>
            <w:r>
              <w:rPr>
                <w:rFonts w:hint="eastAsia" w:asciiTheme="minorEastAsia" w:hAnsiTheme="minorEastAsia" w:eastAsiaTheme="minorEastAsia" w:cstheme="minorEastAsia"/>
                <w:color w:val="auto"/>
                <w:sz w:val="21"/>
                <w:szCs w:val="21"/>
                <w:highlight w:val="none"/>
                <w:lang w:val="en-US" w:eastAsia="zh-CN"/>
              </w:rPr>
              <w:t xml:space="preserve">    总经理</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 xml:space="preserve">张宇栋    行政总监（厂长）：刘井松      </w:t>
            </w:r>
            <w:r>
              <w:rPr>
                <w:rFonts w:hint="eastAsia" w:asciiTheme="minorEastAsia" w:hAnsiTheme="minorEastAsia" w:eastAsiaTheme="minorEastAsia" w:cstheme="minorEastAsia"/>
                <w:color w:val="auto"/>
                <w:sz w:val="21"/>
                <w:szCs w:val="21"/>
                <w:highlight w:val="none"/>
              </w:rPr>
              <w:t>管理者代表</w:t>
            </w:r>
            <w:r>
              <w:rPr>
                <w:rFonts w:hint="eastAsia" w:asciiTheme="minorEastAsia" w:hAnsiTheme="minorEastAsia" w:eastAsiaTheme="minorEastAsia" w:cstheme="minorEastAsia"/>
                <w:color w:val="auto"/>
                <w:sz w:val="21"/>
                <w:szCs w:val="21"/>
                <w:highlight w:val="none"/>
                <w:lang w:eastAsia="zh-CN"/>
              </w:rPr>
              <w:t>：</w:t>
            </w:r>
            <w:bookmarkStart w:id="0" w:name="_Hlk60222227"/>
            <w:r>
              <w:rPr>
                <w:rFonts w:hint="eastAsia" w:asciiTheme="minorEastAsia" w:hAnsiTheme="minorEastAsia" w:eastAsiaTheme="minorEastAsia" w:cstheme="minorEastAsia"/>
                <w:color w:val="auto"/>
                <w:sz w:val="21"/>
                <w:szCs w:val="21"/>
                <w:highlight w:val="none"/>
              </w:rPr>
              <w:t>魏亿枫</w:t>
            </w:r>
            <w:bookmarkEnd w:id="0"/>
            <w:r>
              <w:rPr>
                <w:rFonts w:hint="eastAsia" w:asciiTheme="minorEastAsia" w:hAnsiTheme="minorEastAsia" w:eastAsiaTheme="minorEastAsia" w:cstheme="minorEastAsia"/>
                <w:color w:val="auto"/>
                <w:sz w:val="21"/>
                <w:szCs w:val="21"/>
                <w:highlight w:val="none"/>
                <w:lang w:val="en-US" w:eastAsia="zh-CN"/>
              </w:rPr>
              <w:t xml:space="preserve">  </w:t>
            </w:r>
          </w:p>
        </w:tc>
        <w:tc>
          <w:tcPr>
            <w:tcW w:w="52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84" w:type="dxa"/>
            <w:vMerge w:val="continue"/>
            <w:vAlign w:val="center"/>
          </w:tcPr>
          <w:p>
            <w:pPr>
              <w:rPr>
                <w:rFonts w:hint="eastAsia" w:asciiTheme="minorEastAsia" w:hAnsiTheme="minorEastAsia" w:eastAsiaTheme="minorEastAsia" w:cstheme="minorEastAsia"/>
                <w:sz w:val="21"/>
                <w:szCs w:val="21"/>
              </w:rPr>
            </w:pPr>
          </w:p>
        </w:tc>
        <w:tc>
          <w:tcPr>
            <w:tcW w:w="913" w:type="dxa"/>
            <w:vMerge w:val="continue"/>
            <w:vAlign w:val="center"/>
          </w:tcPr>
          <w:p>
            <w:pPr>
              <w:rPr>
                <w:rFonts w:hint="eastAsia" w:asciiTheme="minorEastAsia" w:hAnsiTheme="minorEastAsia" w:eastAsiaTheme="minorEastAsia" w:cstheme="minorEastAsia"/>
                <w:b w:val="0"/>
                <w:bCs w:val="0"/>
                <w:color w:val="auto"/>
                <w:sz w:val="21"/>
                <w:szCs w:val="21"/>
              </w:rPr>
            </w:pPr>
          </w:p>
        </w:tc>
        <w:tc>
          <w:tcPr>
            <w:tcW w:w="11690" w:type="dxa"/>
            <w:vAlign w:val="center"/>
          </w:tcPr>
          <w:p>
            <w:pPr>
              <w:spacing w:before="120"/>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审核员：</w:t>
            </w:r>
            <w:r>
              <w:rPr>
                <w:rFonts w:hint="eastAsia" w:asciiTheme="minorEastAsia" w:hAnsiTheme="minorEastAsia" w:eastAsiaTheme="minorEastAsia" w:cstheme="minorEastAsia"/>
                <w:b w:val="0"/>
                <w:bCs w:val="0"/>
                <w:color w:val="auto"/>
                <w:sz w:val="21"/>
                <w:szCs w:val="21"/>
                <w:highlight w:val="none"/>
                <w:lang w:val="en-US" w:eastAsia="zh-CN"/>
              </w:rPr>
              <w:t xml:space="preserve">王志慧          </w:t>
            </w:r>
            <w:r>
              <w:rPr>
                <w:rFonts w:hint="eastAsia" w:asciiTheme="minorEastAsia" w:hAnsiTheme="minorEastAsia" w:eastAsiaTheme="minorEastAsia" w:cstheme="minorEastAsia"/>
                <w:b w:val="0"/>
                <w:bCs w:val="0"/>
                <w:color w:val="auto"/>
                <w:sz w:val="21"/>
                <w:szCs w:val="21"/>
                <w:highlight w:val="none"/>
              </w:rPr>
              <w:t>审核时间：2021年01月</w:t>
            </w:r>
            <w:r>
              <w:rPr>
                <w:rFonts w:hint="eastAsia" w:asciiTheme="minorEastAsia" w:hAnsiTheme="minorEastAsia" w:eastAsiaTheme="minorEastAsia" w:cstheme="minorEastAsia"/>
                <w:b w:val="0"/>
                <w:bCs w:val="0"/>
                <w:color w:val="auto"/>
                <w:sz w:val="21"/>
                <w:szCs w:val="21"/>
                <w:highlight w:val="none"/>
                <w:lang w:val="en-US" w:eastAsia="zh-CN"/>
              </w:rPr>
              <w:t>16</w:t>
            </w:r>
            <w:r>
              <w:rPr>
                <w:rFonts w:hint="eastAsia" w:asciiTheme="minorEastAsia" w:hAnsiTheme="minorEastAsia" w:eastAsiaTheme="minorEastAsia" w:cstheme="minorEastAsia"/>
                <w:b w:val="0"/>
                <w:bCs w:val="0"/>
                <w:color w:val="auto"/>
                <w:sz w:val="21"/>
                <w:szCs w:val="21"/>
                <w:highlight w:val="none"/>
              </w:rPr>
              <w:t>日</w:t>
            </w:r>
          </w:p>
        </w:tc>
        <w:tc>
          <w:tcPr>
            <w:tcW w:w="52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84" w:type="dxa"/>
            <w:vMerge w:val="continue"/>
            <w:vAlign w:val="center"/>
          </w:tcPr>
          <w:p>
            <w:pPr>
              <w:rPr>
                <w:rFonts w:hint="eastAsia" w:asciiTheme="minorEastAsia" w:hAnsiTheme="minorEastAsia" w:eastAsiaTheme="minorEastAsia" w:cstheme="minorEastAsia"/>
                <w:sz w:val="21"/>
                <w:szCs w:val="21"/>
              </w:rPr>
            </w:pPr>
          </w:p>
        </w:tc>
        <w:tc>
          <w:tcPr>
            <w:tcW w:w="913" w:type="dxa"/>
            <w:vMerge w:val="continue"/>
            <w:vAlign w:val="center"/>
          </w:tcPr>
          <w:p>
            <w:pPr>
              <w:rPr>
                <w:rFonts w:hint="eastAsia" w:asciiTheme="minorEastAsia" w:hAnsiTheme="minorEastAsia" w:eastAsiaTheme="minorEastAsia" w:cstheme="minorEastAsia"/>
                <w:b w:val="0"/>
                <w:bCs w:val="0"/>
                <w:color w:val="auto"/>
                <w:sz w:val="21"/>
                <w:szCs w:val="21"/>
              </w:rPr>
            </w:pPr>
          </w:p>
        </w:tc>
        <w:tc>
          <w:tcPr>
            <w:tcW w:w="11690" w:type="dxa"/>
            <w:vAlign w:val="center"/>
          </w:tcPr>
          <w:p>
            <w:pPr>
              <w:snapToGrid w:val="0"/>
              <w:spacing w:line="260" w:lineRule="exact"/>
              <w:jc w:val="left"/>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审核条款：</w:t>
            </w:r>
          </w:p>
          <w:p>
            <w:pPr>
              <w:pStyle w:val="2"/>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lang w:eastAsia="zh-CN"/>
              </w:rPr>
              <w:t>略</w:t>
            </w:r>
          </w:p>
        </w:tc>
        <w:tc>
          <w:tcPr>
            <w:tcW w:w="52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84" w:type="dxa"/>
            <w:vAlign w:val="top"/>
          </w:tcPr>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理解组织及其所处环境</w:t>
            </w:r>
          </w:p>
          <w:p>
            <w:pPr>
              <w:spacing w:line="280" w:lineRule="exact"/>
              <w:rPr>
                <w:rFonts w:hint="eastAsia" w:asciiTheme="minorEastAsia" w:hAnsiTheme="minorEastAsia" w:eastAsiaTheme="minorEastAsia" w:cstheme="minorEastAsia"/>
                <w:sz w:val="21"/>
                <w:szCs w:val="21"/>
                <w:lang w:val="en-US" w:eastAsia="zh-CN"/>
              </w:rPr>
            </w:pPr>
          </w:p>
          <w:p>
            <w:pPr>
              <w:spacing w:line="280" w:lineRule="exact"/>
              <w:rPr>
                <w:rFonts w:hint="eastAsia" w:asciiTheme="minorEastAsia" w:hAnsiTheme="minorEastAsia" w:eastAsiaTheme="minorEastAsia" w:cstheme="minorEastAsia"/>
                <w:sz w:val="21"/>
                <w:szCs w:val="21"/>
                <w:lang w:val="en-US" w:eastAsia="zh-CN"/>
              </w:rPr>
            </w:pPr>
          </w:p>
        </w:tc>
        <w:tc>
          <w:tcPr>
            <w:tcW w:w="913" w:type="dxa"/>
            <w:vAlign w:val="top"/>
          </w:tcPr>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O4.1</w:t>
            </w:r>
          </w:p>
        </w:tc>
        <w:tc>
          <w:tcPr>
            <w:tcW w:w="11690" w:type="dxa"/>
            <w:vAlign w:val="center"/>
          </w:tcPr>
          <w:p>
            <w:pPr>
              <w:spacing w:line="28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法定代表人张宇栋，总经理：</w:t>
            </w:r>
            <w:r>
              <w:rPr>
                <w:rFonts w:hint="eastAsia" w:asciiTheme="minorEastAsia" w:hAnsiTheme="minorEastAsia" w:eastAsiaTheme="minorEastAsia" w:cstheme="minorEastAsia"/>
                <w:color w:val="auto"/>
                <w:sz w:val="21"/>
                <w:szCs w:val="21"/>
                <w:lang w:val="en-US" w:eastAsia="zh-CN"/>
              </w:rPr>
              <w:t>张宇栋 ，</w:t>
            </w:r>
            <w:r>
              <w:rPr>
                <w:rFonts w:hint="eastAsia" w:asciiTheme="minorEastAsia" w:hAnsiTheme="minorEastAsia" w:eastAsiaTheme="minorEastAsia" w:cstheme="minorEastAsia"/>
                <w:color w:val="auto"/>
                <w:sz w:val="21"/>
                <w:szCs w:val="21"/>
                <w:lang w:eastAsia="zh-CN"/>
              </w:rPr>
              <w:t>成立日期2016年05月03日，营业期限/长期，住所：滁州市乌衣镇南工路1号，经营范围家具设计、生产、销售等，( 依法须经批准的项目，经相关部门批准后方可开展经营活动)</w:t>
            </w:r>
          </w:p>
          <w:p>
            <w:pPr>
              <w:spacing w:line="280" w:lineRule="exact"/>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营业执照符合要求，见附件。</w:t>
            </w:r>
          </w:p>
          <w:p>
            <w:pPr>
              <w:spacing w:line="280" w:lineRule="exact"/>
              <w:ind w:firstLine="420" w:firstLineChars="200"/>
              <w:rPr>
                <w:rFonts w:hint="eastAsia"/>
              </w:rPr>
            </w:pPr>
            <w:r>
              <w:rPr>
                <w:rFonts w:hint="eastAsia" w:asciiTheme="minorEastAsia" w:hAnsiTheme="minorEastAsia" w:eastAsiaTheme="minorEastAsia" w:cstheme="minorEastAsia"/>
                <w:color w:val="auto"/>
                <w:sz w:val="21"/>
                <w:szCs w:val="21"/>
                <w:lang w:eastAsia="zh-CN"/>
              </w:rPr>
              <w:t>公司主要经营家具生产制造，注册资本2000万元。公司拥有2条智能化生产车间，其中板式车间拥有连线封边机一条，国内顶尖品牌连线封边机，拥有3台豪迈电子下料锯，多功能豪迈数控加工中心，国内顶尖品牌六面钻等。</w:t>
            </w:r>
          </w:p>
          <w:p>
            <w:pPr>
              <w:pStyle w:val="14"/>
              <w:numPr>
                <w:ilvl w:val="0"/>
                <w:numId w:val="0"/>
              </w:num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总经理</w:t>
            </w:r>
            <w:r>
              <w:rPr>
                <w:rFonts w:hint="eastAsia" w:asciiTheme="minorEastAsia" w:hAnsiTheme="minorEastAsia" w:eastAsiaTheme="minorEastAsia" w:cstheme="minorEastAsia"/>
                <w:color w:val="auto"/>
                <w:sz w:val="21"/>
                <w:szCs w:val="21"/>
                <w:lang w:val="en-US" w:eastAsia="zh-CN"/>
              </w:rPr>
              <w:t xml:space="preserve">张宇栋 </w:t>
            </w:r>
            <w:r>
              <w:rPr>
                <w:rFonts w:hint="eastAsia" w:asciiTheme="minorEastAsia" w:hAnsiTheme="minorEastAsia" w:eastAsiaTheme="minorEastAsia" w:cstheme="minorEastAsia"/>
                <w:color w:val="auto"/>
                <w:sz w:val="21"/>
                <w:szCs w:val="21"/>
              </w:rPr>
              <w:t>说：公司推行管理体系的目的就是提高公司市场准入。总经理确定与本公司管理目标和战略方向相关并影响实现管理体系预期结果的各种内部因素</w:t>
            </w:r>
            <w:r>
              <w:rPr>
                <w:rFonts w:hint="eastAsia" w:asciiTheme="minorEastAsia" w:hAnsiTheme="minorEastAsia" w:eastAsiaTheme="minorEastAsia" w:cstheme="minorEastAsia"/>
                <w:color w:val="auto"/>
                <w:sz w:val="21"/>
                <w:szCs w:val="21"/>
                <w:lang w:eastAsia="zh-CN"/>
              </w:rPr>
              <w:t>（治理、组织结构、角色和问责；</w:t>
            </w:r>
            <w:r>
              <w:rPr>
                <w:rFonts w:hint="eastAsia" w:asciiTheme="minorEastAsia" w:hAnsiTheme="minorEastAsia" w:eastAsiaTheme="minorEastAsia" w:cstheme="minorEastAsia"/>
                <w:color w:val="auto"/>
                <w:sz w:val="21"/>
                <w:szCs w:val="21"/>
              </w:rPr>
              <w:t>方针、目标及其实现的策略；能力</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组织文化等等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和外部因素（国际、国家、地区和当地的各种法律法规、技术、竞争、文化、</w:t>
            </w:r>
            <w:r>
              <w:rPr>
                <w:rFonts w:hint="eastAsia" w:asciiTheme="minorEastAsia" w:hAnsiTheme="minorEastAsia" w:eastAsiaTheme="minorEastAsia" w:cstheme="minorEastAsia"/>
                <w:color w:val="auto"/>
                <w:sz w:val="21"/>
                <w:szCs w:val="21"/>
                <w:lang w:val="en-US" w:eastAsia="zh-CN"/>
              </w:rPr>
              <w:t>新知识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新行业</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引进的竞争对手</w:t>
            </w:r>
            <w:r>
              <w:rPr>
                <w:rFonts w:hint="eastAsia" w:asciiTheme="minorEastAsia" w:hAnsiTheme="minorEastAsia" w:eastAsiaTheme="minorEastAsia" w:cstheme="minorEastAsia"/>
                <w:color w:val="auto"/>
                <w:sz w:val="21"/>
                <w:szCs w:val="21"/>
              </w:rPr>
              <w:t>和社会因素等）。这些因素包括了需要考虑的正面和负面因素或条件。公司每年办公室根据由公司销售人员从市场、客户、网络等搜集到的信息并结合公司自身业务运作情况进行分析，通过分析对这些内部和外部因素的相关信息进行监视和评审以确保其充分和适宜。</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84"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确定</w:t>
            </w:r>
            <w:r>
              <w:rPr>
                <w:rFonts w:hint="eastAsia" w:asciiTheme="minorEastAsia" w:hAnsiTheme="minorEastAsia" w:eastAsiaTheme="minorEastAsia" w:cstheme="minorEastAsia"/>
                <w:sz w:val="21"/>
                <w:szCs w:val="21"/>
                <w:lang w:val="en-US" w:eastAsia="zh-CN"/>
              </w:rPr>
              <w:t>OH&amp;S</w:t>
            </w:r>
            <w:r>
              <w:rPr>
                <w:rFonts w:hint="eastAsia" w:asciiTheme="minorEastAsia" w:hAnsiTheme="minorEastAsia" w:eastAsiaTheme="minorEastAsia" w:cstheme="minorEastAsia"/>
                <w:sz w:val="21"/>
                <w:szCs w:val="21"/>
              </w:rPr>
              <w:t>管理体系的范围</w:t>
            </w:r>
          </w:p>
        </w:tc>
        <w:tc>
          <w:tcPr>
            <w:tcW w:w="913"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 xml:space="preserve"> 4.3</w:t>
            </w:r>
          </w:p>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公司管理体系范围为：</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OHSMS:</w:t>
            </w:r>
            <w:r>
              <w:rPr>
                <w:rFonts w:hint="eastAsia" w:asciiTheme="minorEastAsia" w:hAnsiTheme="minorEastAsia" w:eastAsiaTheme="minorEastAsia" w:cstheme="minorEastAsia"/>
                <w:kern w:val="0"/>
                <w:sz w:val="21"/>
                <w:szCs w:val="21"/>
                <w:lang w:bidi="ar"/>
              </w:rPr>
              <w:t xml:space="preserve"> </w:t>
            </w:r>
            <w:bookmarkStart w:id="1" w:name="审核范围"/>
            <w:r>
              <w:rPr>
                <w:sz w:val="21"/>
                <w:szCs w:val="21"/>
              </w:rPr>
              <w:t>板式家具（定制家居产品）的生产所涉及场所的相关职业健康管理活动</w:t>
            </w:r>
            <w:bookmarkEnd w:id="1"/>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84" w:type="dxa"/>
            <w:vAlign w:val="top"/>
          </w:tcPr>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OH&amp;S管理体系</w:t>
            </w:r>
          </w:p>
        </w:tc>
        <w:tc>
          <w:tcPr>
            <w:tcW w:w="913"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O </w:t>
            </w:r>
            <w:r>
              <w:rPr>
                <w:rFonts w:hint="eastAsia" w:asciiTheme="minorEastAsia" w:hAnsiTheme="minorEastAsia" w:eastAsiaTheme="minorEastAsia" w:cstheme="minorEastAsia"/>
                <w:sz w:val="21"/>
                <w:szCs w:val="21"/>
              </w:rPr>
              <w:t>4.4</w:t>
            </w:r>
          </w:p>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rPr>
              <w:t>该公司2020年6月1日</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根据自身的实际情况和标准的要求组织人员编制了管理手册、作业文件和记录表格，制定了管理方针和管理目标。实施了管理体系，通过对过程检测结果进行分析管理体系得以不断改进。</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84"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OH&amp;S</w:t>
            </w:r>
            <w:r>
              <w:rPr>
                <w:rFonts w:hint="eastAsia" w:asciiTheme="minorEastAsia" w:hAnsiTheme="minorEastAsia" w:eastAsiaTheme="minorEastAsia" w:cstheme="minorEastAsia"/>
                <w:sz w:val="21"/>
                <w:szCs w:val="21"/>
              </w:rPr>
              <w:t>方针</w:t>
            </w:r>
          </w:p>
          <w:p>
            <w:pPr>
              <w:spacing w:line="280" w:lineRule="exact"/>
              <w:rPr>
                <w:rFonts w:hint="eastAsia" w:asciiTheme="minorEastAsia" w:hAnsiTheme="minorEastAsia" w:eastAsiaTheme="minorEastAsia" w:cstheme="minorEastAsia"/>
                <w:sz w:val="21"/>
                <w:szCs w:val="21"/>
              </w:rPr>
            </w:pPr>
          </w:p>
        </w:tc>
        <w:tc>
          <w:tcPr>
            <w:tcW w:w="913" w:type="dxa"/>
            <w:vAlign w:val="top"/>
          </w:tcPr>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O5.2</w:t>
            </w:r>
          </w:p>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职业健康安全方针：依法管理   以人为本  预防为主   持续改进   创造健康的环境</w:t>
            </w:r>
          </w:p>
          <w:p>
            <w:pPr>
              <w:spacing w:line="2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职业健康安全目标：重特大安全事故、火灾事故为零；</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4"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OH&amp;S</w:t>
            </w:r>
            <w:r>
              <w:rPr>
                <w:rFonts w:hint="eastAsia" w:asciiTheme="minorEastAsia" w:hAnsiTheme="minorEastAsia" w:eastAsiaTheme="minorEastAsia" w:cstheme="minorEastAsia"/>
                <w:sz w:val="21"/>
                <w:szCs w:val="21"/>
              </w:rPr>
              <w:t>目标及其实现的策划</w:t>
            </w:r>
          </w:p>
          <w:p>
            <w:pPr>
              <w:spacing w:line="280" w:lineRule="exact"/>
              <w:rPr>
                <w:rFonts w:hint="eastAsia" w:asciiTheme="minorEastAsia" w:hAnsiTheme="minorEastAsia" w:eastAsiaTheme="minorEastAsia" w:cstheme="minorEastAsia"/>
                <w:sz w:val="21"/>
                <w:szCs w:val="21"/>
              </w:rPr>
            </w:pPr>
          </w:p>
        </w:tc>
        <w:tc>
          <w:tcPr>
            <w:tcW w:w="913" w:type="dxa"/>
            <w:vAlign w:val="top"/>
          </w:tcPr>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O </w:t>
            </w:r>
            <w:r>
              <w:rPr>
                <w:rFonts w:hint="eastAsia" w:asciiTheme="minorEastAsia" w:hAnsiTheme="minorEastAsia" w:eastAsiaTheme="minorEastAsia" w:cstheme="minorEastAsia"/>
                <w:color w:val="auto"/>
                <w:sz w:val="21"/>
                <w:szCs w:val="21"/>
              </w:rPr>
              <w:t>6.2</w:t>
            </w:r>
          </w:p>
          <w:p>
            <w:pPr>
              <w:spacing w:line="280" w:lineRule="exact"/>
              <w:rPr>
                <w:rFonts w:hint="eastAsia" w:asciiTheme="minorEastAsia" w:hAnsiTheme="minorEastAsia" w:eastAsiaTheme="minorEastAsia" w:cstheme="minorEastAsia"/>
                <w:color w:val="auto"/>
                <w:sz w:val="21"/>
                <w:szCs w:val="21"/>
              </w:rPr>
            </w:pPr>
          </w:p>
        </w:tc>
        <w:tc>
          <w:tcPr>
            <w:tcW w:w="11690" w:type="dxa"/>
            <w:vAlign w:val="center"/>
          </w:tcPr>
          <w:p>
            <w:pPr>
              <w:spacing w:line="240" w:lineRule="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公司对管理体系所需的相关职能、层次和过程设定管理目标。</w:t>
            </w:r>
          </w:p>
          <w:p>
            <w:pPr>
              <w:pStyle w:val="3"/>
              <w:spacing w:line="240" w:lineRule="auto"/>
              <w:rPr>
                <w:rFonts w:hint="eastAsia" w:asciiTheme="minorEastAsia" w:hAnsiTheme="minorEastAsia" w:eastAsiaTheme="minorEastAsia" w:cstheme="minorEastAsia"/>
                <w:bCs/>
                <w:color w:val="auto"/>
                <w:sz w:val="21"/>
                <w:szCs w:val="21"/>
                <w:highlight w:val="yellow"/>
                <w:lang w:eastAsia="zh-CN"/>
              </w:rPr>
            </w:pPr>
            <w:r>
              <w:rPr>
                <w:rFonts w:hint="eastAsia" w:asciiTheme="minorEastAsia" w:hAnsiTheme="minorEastAsia" w:eastAsiaTheme="minorEastAsia" w:cstheme="minorEastAsia"/>
                <w:b/>
                <w:bCs/>
                <w:color w:val="auto"/>
                <w:sz w:val="21"/>
                <w:szCs w:val="21"/>
              </w:rPr>
              <w:t>职业健康安全目标</w:t>
            </w:r>
            <w:r>
              <w:rPr>
                <w:rFonts w:hint="eastAsia" w:asciiTheme="minorEastAsia" w:hAnsiTheme="minorEastAsia" w:eastAsiaTheme="minorEastAsia" w:cstheme="minorEastAsia"/>
                <w:b/>
                <w:bCs/>
                <w:color w:val="auto"/>
                <w:sz w:val="21"/>
                <w:szCs w:val="21"/>
                <w:lang w:eastAsia="zh-CN"/>
              </w:rPr>
              <w:t>：</w:t>
            </w:r>
          </w:p>
          <w:p>
            <w:pPr>
              <w:spacing w:line="240" w:lineRule="auto"/>
              <w:ind w:firstLine="420" w:firstLineChars="200"/>
              <w:rPr>
                <w:rFonts w:hint="eastAsia" w:asciiTheme="minorEastAsia" w:hAnsiTheme="minorEastAsia" w:eastAsiaTheme="minorEastAsia" w:cstheme="minorEastAsia"/>
                <w:bCs/>
                <w:snapToGrid w:val="0"/>
                <w:sz w:val="21"/>
                <w:szCs w:val="21"/>
              </w:rPr>
            </w:pPr>
            <w:r>
              <w:rPr>
                <w:rFonts w:hint="eastAsia" w:asciiTheme="minorEastAsia" w:hAnsiTheme="minorEastAsia" w:eastAsiaTheme="minorEastAsia" w:cstheme="minorEastAsia"/>
                <w:bCs/>
                <w:snapToGrid w:val="0"/>
                <w:sz w:val="21"/>
                <w:szCs w:val="21"/>
              </w:rPr>
              <w:t>机械伤害轻伤率≤1‰</w:t>
            </w:r>
          </w:p>
          <w:p>
            <w:pPr>
              <w:spacing w:line="240" w:lineRule="auto"/>
              <w:ind w:firstLine="420" w:firstLineChars="200"/>
              <w:rPr>
                <w:rFonts w:hint="eastAsia" w:asciiTheme="minorEastAsia" w:hAnsiTheme="minorEastAsia" w:eastAsiaTheme="minorEastAsia" w:cstheme="minorEastAsia"/>
                <w:bCs/>
                <w:snapToGrid w:val="0"/>
                <w:sz w:val="21"/>
                <w:szCs w:val="21"/>
              </w:rPr>
            </w:pPr>
            <w:r>
              <w:rPr>
                <w:rFonts w:hint="eastAsia" w:asciiTheme="minorEastAsia" w:hAnsiTheme="minorEastAsia" w:eastAsiaTheme="minorEastAsia" w:cstheme="minorEastAsia"/>
                <w:bCs/>
                <w:snapToGrid w:val="0"/>
                <w:sz w:val="21"/>
                <w:szCs w:val="21"/>
              </w:rPr>
              <w:t>火灾发生0</w:t>
            </w:r>
          </w:p>
          <w:p>
            <w:pPr>
              <w:spacing w:line="240" w:lineRule="auto"/>
              <w:ind w:firstLine="420" w:firstLineChars="200"/>
              <w:rPr>
                <w:rFonts w:hint="eastAsia" w:asciiTheme="minorEastAsia" w:hAnsiTheme="minorEastAsia" w:eastAsiaTheme="minorEastAsia" w:cstheme="minorEastAsia"/>
                <w:bCs/>
                <w:snapToGrid w:val="0"/>
                <w:sz w:val="21"/>
                <w:szCs w:val="21"/>
              </w:rPr>
            </w:pPr>
            <w:r>
              <w:rPr>
                <w:rFonts w:hint="eastAsia" w:asciiTheme="minorEastAsia" w:hAnsiTheme="minorEastAsia" w:eastAsiaTheme="minorEastAsia" w:cstheme="minorEastAsia"/>
                <w:bCs/>
                <w:snapToGrid w:val="0"/>
                <w:sz w:val="21"/>
                <w:szCs w:val="21"/>
              </w:rPr>
              <w:t>触电事故0</w:t>
            </w:r>
          </w:p>
          <w:p>
            <w:pPr>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目标可测量，与公司管理方针一致。由办公室按公司管理目标考核要求统计考核公司管理目标完成情况，提交管理评审会议。查到</w:t>
            </w:r>
            <w:r>
              <w:rPr>
                <w:rFonts w:hint="eastAsia" w:asciiTheme="minorEastAsia" w:hAnsiTheme="minorEastAsia" w:eastAsiaTheme="minorEastAsia" w:cstheme="minorEastAsia"/>
                <w:color w:val="000000"/>
                <w:sz w:val="21"/>
                <w:szCs w:val="21"/>
                <w:lang w:val="en-US" w:eastAsia="zh-CN"/>
              </w:rPr>
              <w:t>2020年第三季度，</w:t>
            </w:r>
            <w:r>
              <w:rPr>
                <w:rFonts w:hint="eastAsia" w:asciiTheme="minorEastAsia" w:hAnsiTheme="minorEastAsia" w:eastAsiaTheme="minorEastAsia" w:cstheme="minorEastAsia"/>
                <w:color w:val="auto"/>
                <w:kern w:val="0"/>
                <w:sz w:val="21"/>
                <w:szCs w:val="21"/>
              </w:rPr>
              <w:t>公司管理目标完成情况，各项目标均已完成，考核人</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sz w:val="21"/>
                <w:szCs w:val="21"/>
                <w:lang w:eastAsia="zh-CN"/>
              </w:rPr>
              <w:t>张宇栋</w:t>
            </w:r>
            <w:r>
              <w:rPr>
                <w:rFonts w:hint="eastAsia" w:asciiTheme="minorEastAsia" w:hAnsiTheme="minorEastAsia" w:eastAsiaTheme="minorEastAsia" w:cstheme="minorEastAsia"/>
                <w:color w:val="auto"/>
                <w:kern w:val="0"/>
                <w:sz w:val="21"/>
                <w:szCs w:val="21"/>
              </w:rPr>
              <w:t>。</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4"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资源</w:t>
            </w:r>
          </w:p>
          <w:p>
            <w:pPr>
              <w:spacing w:line="280" w:lineRule="exact"/>
              <w:rPr>
                <w:rFonts w:hint="eastAsia" w:asciiTheme="minorEastAsia" w:hAnsiTheme="minorEastAsia" w:eastAsiaTheme="minorEastAsia" w:cstheme="minorEastAsia"/>
                <w:sz w:val="21"/>
                <w:szCs w:val="21"/>
              </w:rPr>
            </w:pPr>
          </w:p>
        </w:tc>
        <w:tc>
          <w:tcPr>
            <w:tcW w:w="913"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7.1</w:t>
            </w:r>
          </w:p>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查公司配备了必要的人力资源，基础设施(</w:t>
            </w:r>
            <w:r>
              <w:rPr>
                <w:rFonts w:hint="eastAsia" w:asciiTheme="minorEastAsia" w:hAnsiTheme="minorEastAsia" w:eastAsiaTheme="minorEastAsia" w:cstheme="minorEastAsia"/>
                <w:sz w:val="21"/>
                <w:szCs w:val="21"/>
                <w:lang w:val="en-US" w:eastAsia="zh-CN"/>
              </w:rPr>
              <w:t>劳保用品</w:t>
            </w:r>
            <w:r>
              <w:rPr>
                <w:rFonts w:hint="eastAsia" w:asciiTheme="minorEastAsia" w:hAnsiTheme="minorEastAsia" w:eastAsiaTheme="minorEastAsia" w:cstheme="minorEastAsia"/>
                <w:sz w:val="21"/>
                <w:szCs w:val="21"/>
              </w:rPr>
              <w:t>；生产设备、办公设备、车间、仓库等)，规范文件、资金等必要的资源</w:t>
            </w:r>
            <w:r>
              <w:rPr>
                <w:rFonts w:hint="eastAsia" w:asciiTheme="minorEastAsia" w:hAnsiTheme="minorEastAsia" w:eastAsiaTheme="minorEastAsia" w:cstheme="minorEastAsia"/>
                <w:sz w:val="21"/>
                <w:szCs w:val="21"/>
                <w:lang w:eastAsia="zh-CN"/>
              </w:rPr>
              <w:t>。</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84"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管理评审</w:t>
            </w:r>
          </w:p>
          <w:p>
            <w:pPr>
              <w:spacing w:line="280" w:lineRule="exact"/>
              <w:rPr>
                <w:rFonts w:hint="eastAsia" w:asciiTheme="minorEastAsia" w:hAnsiTheme="minorEastAsia" w:eastAsiaTheme="minorEastAsia" w:cstheme="minorEastAsia"/>
                <w:sz w:val="21"/>
                <w:szCs w:val="21"/>
              </w:rPr>
            </w:pPr>
          </w:p>
        </w:tc>
        <w:tc>
          <w:tcPr>
            <w:tcW w:w="913"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O </w:t>
            </w:r>
            <w:r>
              <w:rPr>
                <w:rFonts w:hint="eastAsia" w:asciiTheme="minorEastAsia" w:hAnsiTheme="minorEastAsia" w:eastAsiaTheme="minorEastAsia" w:cstheme="minorEastAsia"/>
                <w:sz w:val="21"/>
                <w:szCs w:val="21"/>
              </w:rPr>
              <w:t>9.3</w:t>
            </w:r>
          </w:p>
          <w:p>
            <w:pPr>
              <w:spacing w:line="280" w:lineRule="exact"/>
              <w:rPr>
                <w:rFonts w:hint="eastAsia" w:asciiTheme="minorEastAsia" w:hAnsiTheme="minorEastAsia" w:eastAsiaTheme="minorEastAsia" w:cstheme="minorEastAsia"/>
                <w:sz w:val="21"/>
                <w:szCs w:val="21"/>
              </w:rPr>
            </w:pPr>
          </w:p>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该公司制定了管理评审管理程序GDKL-CX-17，</w:t>
            </w:r>
            <w:r>
              <w:rPr>
                <w:rFonts w:hint="eastAsia" w:asciiTheme="minorEastAsia" w:hAnsiTheme="minorEastAsia" w:eastAsiaTheme="minorEastAsia" w:cstheme="minorEastAsia"/>
                <w:sz w:val="21"/>
                <w:szCs w:val="21"/>
              </w:rPr>
              <w:t>提供：</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1.管理评审计划，</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评审时间：计划20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日 进行，初审无间隔要求，评审方式：会议评审， 批 准：张宇栋</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编 制：魏亿枫  </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2.管理评审会议记录，</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按计划的时间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0日实施了管理评审。管理评审输入：</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3.管理评审报告，</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管理评审结论：本公司职业健康安全管理体系运行是基本适宜性、充分性、有效性的。</w:t>
            </w:r>
          </w:p>
          <w:p>
            <w:pPr>
              <w:spacing w:line="280" w:lineRule="exac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改进：加强员工对标准的理解；</w:t>
            </w:r>
          </w:p>
        </w:tc>
        <w:tc>
          <w:tcPr>
            <w:tcW w:w="522"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4" w:type="dxa"/>
            <w:vAlign w:val="top"/>
          </w:tcPr>
          <w:p>
            <w:pPr>
              <w:spacing w:line="2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color w:val="auto"/>
                <w:sz w:val="21"/>
                <w:szCs w:val="21"/>
              </w:rPr>
              <w:t>资质验证、安全事故、顾客投诉、抽查、遵纪守法情况、体系变动</w:t>
            </w:r>
            <w:r>
              <w:rPr>
                <w:rFonts w:hint="eastAsia" w:asciiTheme="minorEastAsia" w:hAnsiTheme="minorEastAsia" w:eastAsiaTheme="minorEastAsia" w:cstheme="minorEastAsia"/>
                <w:b w:val="0"/>
                <w:bCs w:val="0"/>
                <w:color w:val="auto"/>
                <w:sz w:val="21"/>
                <w:szCs w:val="21"/>
                <w:lang w:val="en-US" w:eastAsia="zh-CN"/>
              </w:rPr>
              <w:t>等</w:t>
            </w:r>
          </w:p>
        </w:tc>
        <w:tc>
          <w:tcPr>
            <w:tcW w:w="913" w:type="dxa"/>
            <w:vAlign w:val="top"/>
          </w:tcPr>
          <w:p>
            <w:pPr>
              <w:spacing w:line="280" w:lineRule="exact"/>
              <w:rPr>
                <w:rFonts w:hint="eastAsia" w:asciiTheme="minorEastAsia" w:hAnsiTheme="minorEastAsia" w:eastAsiaTheme="minorEastAsia" w:cstheme="minorEastAsia"/>
                <w:sz w:val="21"/>
                <w:szCs w:val="21"/>
              </w:rPr>
            </w:pPr>
          </w:p>
        </w:tc>
        <w:tc>
          <w:tcPr>
            <w:tcW w:w="11690" w:type="dxa"/>
            <w:vAlign w:val="center"/>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自公司成立以来，未受到上级主管部门有关质量、环境、职业健康安全的行政处罚。未发生相关方的投诉。</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暂时没有国家/地方抽查情况。</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目前没有相关行政主管部门的检查处罚，在审核现场也未发现抽查、相关方投诉等情况。</w:t>
            </w:r>
          </w:p>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提供了组织营业执照均为有效。见附件。</w:t>
            </w:r>
          </w:p>
        </w:tc>
        <w:tc>
          <w:tcPr>
            <w:tcW w:w="522" w:type="dxa"/>
          </w:tcPr>
          <w:p>
            <w:pPr>
              <w:rPr>
                <w:rFonts w:hint="eastAsia" w:asciiTheme="minorEastAsia" w:hAnsiTheme="minorEastAsia" w:eastAsiaTheme="minorEastAsia" w:cstheme="minorEastAsia"/>
                <w:sz w:val="21"/>
                <w:szCs w:val="21"/>
                <w:lang w:val="en-US" w:eastAsia="zh-CN"/>
              </w:rPr>
            </w:pPr>
          </w:p>
        </w:tc>
      </w:tr>
    </w:tbl>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ptab w:relativeTo="margin" w:alignment="center" w:leader="none"/>
      </w:r>
    </w:p>
    <w:p>
      <w:pPr>
        <w:pStyle w:val="5"/>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说明：不</w:t>
      </w:r>
      <w:r>
        <w:rPr>
          <w:rFonts w:hint="eastAsia" w:asciiTheme="minorEastAsia" w:hAnsiTheme="minorEastAsia" w:eastAsiaTheme="minorEastAsia" w:cstheme="minorEastAsia"/>
          <w:lang w:eastAsia="zh-CN"/>
        </w:rPr>
        <w:t>符合</w:t>
      </w:r>
      <w:r>
        <w:rPr>
          <w:rFonts w:hint="eastAsia" w:asciiTheme="minorEastAsia" w:hAnsiTheme="minorEastAsia" w:eastAsiaTheme="minorEastAsia" w:cstheme="minorEastAsia"/>
        </w:rPr>
        <w:t>标注N</w:t>
      </w:r>
    </w:p>
    <w:p>
      <w:pPr>
        <w:pStyle w:val="5"/>
        <w:rPr>
          <w:rFonts w:hint="eastAsia" w:asciiTheme="minorEastAsia" w:hAnsiTheme="minorEastAsia" w:eastAsiaTheme="minorEastAsia" w:cstheme="minorEastAsia"/>
        </w:rPr>
      </w:pPr>
    </w:p>
    <w:p>
      <w:pPr>
        <w:pStyle w:val="5"/>
        <w:rPr>
          <w:rFonts w:hint="eastAsia" w:asciiTheme="minorEastAsia" w:hAnsiTheme="minorEastAsia" w:eastAsiaTheme="minorEastAsia" w:cstheme="minorEastAsia"/>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lang w:eastAsia="zh-CN"/>
        </w:rPr>
        <w:tab/>
      </w: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2</w:t>
      </w:r>
    </w:p>
    <w:p>
      <w:pPr>
        <w:pStyle w:val="5"/>
        <w:tabs>
          <w:tab w:val="left" w:pos="4933"/>
          <w:tab w:val="clear" w:pos="4153"/>
        </w:tabs>
        <w:rPr>
          <w:rFonts w:hint="eastAsia" w:asciiTheme="minorEastAsia" w:hAnsiTheme="minorEastAsia" w:eastAsiaTheme="minorEastAsia" w:cstheme="minorEastAsia"/>
          <w:lang w:eastAsia="zh-CN"/>
        </w:rPr>
      </w:pPr>
    </w:p>
    <w:tbl>
      <w:tblPr>
        <w:tblStyle w:val="7"/>
        <w:tblpPr w:leftFromText="180" w:rightFromText="180" w:vertAnchor="text" w:horzAnchor="page" w:tblpX="1125" w:tblpY="4"/>
        <w:tblOverlap w:val="never"/>
        <w:tblW w:w="14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889"/>
        <w:gridCol w:w="11833"/>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95" w:type="dxa"/>
            <w:vMerge w:val="restart"/>
            <w:noWrap w:val="0"/>
            <w:vAlign w:val="center"/>
          </w:tcPr>
          <w:p>
            <w:pPr>
              <w:spacing w:before="120"/>
              <w:rPr>
                <w:sz w:val="21"/>
                <w:szCs w:val="21"/>
              </w:rPr>
            </w:pPr>
            <w:r>
              <w:rPr>
                <w:rFonts w:hint="eastAsia" w:cs="宋体"/>
                <w:sz w:val="21"/>
                <w:szCs w:val="21"/>
              </w:rPr>
              <w:t>过程与活动、抽样计划</w:t>
            </w:r>
          </w:p>
        </w:tc>
        <w:tc>
          <w:tcPr>
            <w:tcW w:w="889" w:type="dxa"/>
            <w:vMerge w:val="restart"/>
            <w:noWrap w:val="0"/>
            <w:vAlign w:val="center"/>
          </w:tcPr>
          <w:p>
            <w:pPr>
              <w:rPr>
                <w:sz w:val="21"/>
                <w:szCs w:val="21"/>
              </w:rPr>
            </w:pPr>
            <w:r>
              <w:rPr>
                <w:rFonts w:hint="eastAsia" w:cs="宋体"/>
                <w:sz w:val="21"/>
                <w:szCs w:val="21"/>
              </w:rPr>
              <w:t>涉及</w:t>
            </w:r>
          </w:p>
          <w:p>
            <w:pPr>
              <w:rPr>
                <w:sz w:val="21"/>
                <w:szCs w:val="21"/>
              </w:rPr>
            </w:pPr>
            <w:r>
              <w:rPr>
                <w:rFonts w:hint="eastAsia" w:cs="宋体"/>
                <w:sz w:val="21"/>
                <w:szCs w:val="21"/>
              </w:rPr>
              <w:t>条款</w:t>
            </w:r>
          </w:p>
        </w:tc>
        <w:tc>
          <w:tcPr>
            <w:tcW w:w="11833" w:type="dxa"/>
            <w:noWrap w:val="0"/>
            <w:vAlign w:val="center"/>
          </w:tcPr>
          <w:p>
            <w:pPr>
              <w:rPr>
                <w:rFonts w:hint="eastAsia"/>
                <w:sz w:val="21"/>
                <w:szCs w:val="21"/>
              </w:rPr>
            </w:pPr>
            <w:r>
              <w:rPr>
                <w:rFonts w:hint="eastAsia" w:cs="宋体"/>
                <w:sz w:val="21"/>
                <w:szCs w:val="21"/>
              </w:rPr>
              <w:t>受审核部门：财务部</w:t>
            </w:r>
            <w:r>
              <w:rPr>
                <w:sz w:val="21"/>
                <w:szCs w:val="21"/>
              </w:rPr>
              <w:t xml:space="preserve">   </w:t>
            </w:r>
            <w:r>
              <w:rPr>
                <w:rFonts w:hint="eastAsia" w:cs="宋体"/>
                <w:sz w:val="21"/>
                <w:szCs w:val="21"/>
              </w:rPr>
              <w:t>主管领导：</w:t>
            </w:r>
            <w:r>
              <w:rPr>
                <w:rFonts w:hint="eastAsia" w:ascii="Xingkai SC Light" w:hAnsi="Xingkai SC Light" w:eastAsia="Xingkai SC Light"/>
              </w:rPr>
              <w:t>贺薇薇</w:t>
            </w:r>
            <w:r>
              <w:rPr>
                <w:rFonts w:hint="eastAsia" w:asciiTheme="minorEastAsia" w:hAnsiTheme="minorEastAsia" w:eastAsiaTheme="minorEastAsia" w:cstheme="minorEastAsia"/>
                <w:color w:val="auto"/>
                <w:sz w:val="21"/>
                <w:szCs w:val="21"/>
              </w:rPr>
              <w:t xml:space="preserve"> </w:t>
            </w:r>
            <w:r>
              <w:rPr>
                <w:rFonts w:hint="eastAsia" w:cs="宋体"/>
                <w:color w:val="0000FF"/>
                <w:sz w:val="21"/>
                <w:szCs w:val="21"/>
              </w:rPr>
              <w:t xml:space="preserve"> </w:t>
            </w:r>
          </w:p>
        </w:tc>
        <w:tc>
          <w:tcPr>
            <w:tcW w:w="501" w:type="dxa"/>
            <w:vMerge w:val="restart"/>
            <w:noWrap w:val="0"/>
            <w:vAlign w:val="center"/>
          </w:tcPr>
          <w:p>
            <w:pPr>
              <w:rPr>
                <w:sz w:val="21"/>
                <w:szCs w:val="21"/>
              </w:rPr>
            </w:pPr>
            <w:r>
              <w:rPr>
                <w:rFonts w:hint="eastAsia"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95" w:type="dxa"/>
            <w:vMerge w:val="continue"/>
            <w:noWrap w:val="0"/>
            <w:vAlign w:val="center"/>
          </w:tcPr>
          <w:p>
            <w:pPr>
              <w:rPr>
                <w:sz w:val="21"/>
                <w:szCs w:val="21"/>
              </w:rPr>
            </w:pPr>
          </w:p>
        </w:tc>
        <w:tc>
          <w:tcPr>
            <w:tcW w:w="889" w:type="dxa"/>
            <w:vMerge w:val="continue"/>
            <w:noWrap w:val="0"/>
            <w:vAlign w:val="center"/>
          </w:tcPr>
          <w:p>
            <w:pPr>
              <w:rPr>
                <w:sz w:val="21"/>
                <w:szCs w:val="21"/>
              </w:rPr>
            </w:pPr>
          </w:p>
        </w:tc>
        <w:tc>
          <w:tcPr>
            <w:tcW w:w="11833" w:type="dxa"/>
            <w:noWrap w:val="0"/>
            <w:vAlign w:val="center"/>
          </w:tcPr>
          <w:p>
            <w:pPr>
              <w:spacing w:before="120"/>
              <w:rPr>
                <w:sz w:val="21"/>
                <w:szCs w:val="21"/>
              </w:rPr>
            </w:pPr>
            <w:r>
              <w:rPr>
                <w:rFonts w:hint="eastAsia" w:cs="宋体"/>
                <w:sz w:val="21"/>
                <w:szCs w:val="21"/>
              </w:rPr>
              <w:t xml:space="preserve">审核员： </w:t>
            </w:r>
            <w:r>
              <w:rPr>
                <w:rFonts w:hint="eastAsia" w:cs="宋体"/>
                <w:sz w:val="21"/>
                <w:szCs w:val="21"/>
                <w:lang w:eastAsia="zh-CN"/>
              </w:rPr>
              <w:t>王志慧</w:t>
            </w:r>
            <w:r>
              <w:rPr>
                <w:rFonts w:hint="eastAsia" w:cs="宋体"/>
                <w:sz w:val="21"/>
                <w:szCs w:val="21"/>
              </w:rPr>
              <w:t xml:space="preserve">  </w:t>
            </w:r>
            <w:r>
              <w:rPr>
                <w:sz w:val="21"/>
                <w:szCs w:val="21"/>
              </w:rPr>
              <w:t xml:space="preserve">      </w:t>
            </w:r>
            <w:r>
              <w:rPr>
                <w:rFonts w:hint="eastAsia" w:cs="宋体"/>
                <w:sz w:val="21"/>
                <w:szCs w:val="21"/>
              </w:rPr>
              <w:t>审核时间：</w:t>
            </w:r>
            <w:r>
              <w:rPr>
                <w:rFonts w:hint="eastAsia" w:ascii="宋体" w:hAnsi="宋体"/>
                <w:b/>
                <w:sz w:val="21"/>
                <w:szCs w:val="21"/>
              </w:rPr>
              <w:t>2021年01月1</w:t>
            </w:r>
            <w:r>
              <w:rPr>
                <w:rFonts w:hint="eastAsia" w:ascii="宋体" w:hAnsi="宋体"/>
                <w:b/>
                <w:sz w:val="21"/>
                <w:szCs w:val="21"/>
                <w:lang w:val="en-US" w:eastAsia="zh-CN"/>
              </w:rPr>
              <w:t>6</w:t>
            </w:r>
            <w:r>
              <w:rPr>
                <w:rFonts w:hint="eastAsia" w:ascii="宋体" w:hAnsi="宋体"/>
                <w:b/>
                <w:sz w:val="21"/>
                <w:szCs w:val="21"/>
              </w:rPr>
              <w:t>日</w:t>
            </w:r>
          </w:p>
        </w:tc>
        <w:tc>
          <w:tcPr>
            <w:tcW w:w="501" w:type="dxa"/>
            <w:vMerge w:val="continue"/>
            <w:noWrap w:val="0"/>
            <w:vAlign w:val="top"/>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95" w:type="dxa"/>
            <w:vMerge w:val="continue"/>
            <w:noWrap w:val="0"/>
            <w:vAlign w:val="center"/>
          </w:tcPr>
          <w:p>
            <w:pPr>
              <w:rPr>
                <w:sz w:val="21"/>
                <w:szCs w:val="21"/>
              </w:rPr>
            </w:pPr>
          </w:p>
        </w:tc>
        <w:tc>
          <w:tcPr>
            <w:tcW w:w="889" w:type="dxa"/>
            <w:vMerge w:val="continue"/>
            <w:noWrap w:val="0"/>
            <w:vAlign w:val="center"/>
          </w:tcPr>
          <w:p>
            <w:pPr>
              <w:rPr>
                <w:sz w:val="21"/>
                <w:szCs w:val="21"/>
              </w:rPr>
            </w:pPr>
          </w:p>
        </w:tc>
        <w:tc>
          <w:tcPr>
            <w:tcW w:w="11833" w:type="dxa"/>
            <w:noWrap w:val="0"/>
            <w:vAlign w:val="center"/>
          </w:tcPr>
          <w:p>
            <w:pPr>
              <w:spacing w:line="240" w:lineRule="exact"/>
              <w:rPr>
                <w:sz w:val="21"/>
                <w:szCs w:val="21"/>
              </w:rPr>
            </w:pPr>
            <w:r>
              <w:rPr>
                <w:rFonts w:hint="eastAsia" w:cs="宋体"/>
                <w:sz w:val="21"/>
                <w:szCs w:val="21"/>
              </w:rPr>
              <w:t>审核条款：</w:t>
            </w:r>
          </w:p>
        </w:tc>
        <w:tc>
          <w:tcPr>
            <w:tcW w:w="501" w:type="dxa"/>
            <w:vMerge w:val="continue"/>
            <w:noWrap w:val="0"/>
            <w:vAlign w:val="top"/>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1495" w:type="dxa"/>
            <w:noWrap w:val="0"/>
            <w:vAlign w:val="center"/>
          </w:tcPr>
          <w:p>
            <w:pPr>
              <w:rPr>
                <w:rFonts w:hint="eastAsia"/>
                <w:sz w:val="21"/>
                <w:szCs w:val="21"/>
              </w:rPr>
            </w:pPr>
            <w:r>
              <w:rPr>
                <w:rFonts w:hint="eastAsia"/>
                <w:sz w:val="21"/>
                <w:szCs w:val="21"/>
              </w:rPr>
              <w:t>资源/</w:t>
            </w:r>
          </w:p>
          <w:p>
            <w:pPr>
              <w:rPr>
                <w:rFonts w:hint="eastAsia"/>
                <w:sz w:val="21"/>
                <w:szCs w:val="21"/>
              </w:rPr>
            </w:pPr>
            <w:r>
              <w:rPr>
                <w:rFonts w:hint="eastAsia"/>
                <w:sz w:val="21"/>
                <w:szCs w:val="21"/>
              </w:rPr>
              <w:t>运行控制</w:t>
            </w:r>
          </w:p>
        </w:tc>
        <w:tc>
          <w:tcPr>
            <w:tcW w:w="889" w:type="dxa"/>
            <w:noWrap w:val="0"/>
            <w:vAlign w:val="center"/>
          </w:tcPr>
          <w:p>
            <w:pPr>
              <w:rPr>
                <w:rFonts w:hint="eastAsia"/>
                <w:sz w:val="21"/>
                <w:szCs w:val="21"/>
              </w:rPr>
            </w:pPr>
            <w:r>
              <w:rPr>
                <w:rFonts w:hint="eastAsia"/>
                <w:sz w:val="21"/>
                <w:szCs w:val="21"/>
              </w:rPr>
              <w:t>8.1</w:t>
            </w:r>
          </w:p>
        </w:tc>
        <w:tc>
          <w:tcPr>
            <w:tcW w:w="11833" w:type="dxa"/>
            <w:noWrap w:val="0"/>
            <w:vAlign w:val="center"/>
          </w:tcPr>
          <w:p>
            <w:pPr>
              <w:rPr>
                <w:rFonts w:hint="eastAsia" w:ascii="Times New Roman" w:hAnsi="Times New Roman" w:eastAsia="宋体"/>
                <w:color w:val="auto"/>
                <w:sz w:val="21"/>
                <w:szCs w:val="21"/>
                <w:lang w:eastAsia="zh-CN"/>
              </w:rPr>
            </w:pPr>
            <w:r>
              <w:rPr>
                <w:rFonts w:hint="eastAsia"/>
                <w:color w:val="auto"/>
                <w:sz w:val="21"/>
                <w:szCs w:val="21"/>
                <w:lang w:eastAsia="zh-CN"/>
              </w:rPr>
              <w:t>《2020年职业健康安全资源投入统计》</w:t>
            </w:r>
          </w:p>
          <w:p>
            <w:pPr>
              <w:rPr>
                <w:rFonts w:hint="eastAsia" w:ascii="Times New Roman" w:hAnsi="Times New Roman"/>
                <w:color w:val="auto"/>
                <w:sz w:val="21"/>
                <w:szCs w:val="21"/>
              </w:rPr>
            </w:pPr>
            <w:r>
              <w:rPr>
                <w:rFonts w:hint="eastAsia" w:ascii="Times New Roman" w:hAnsi="Times New Roman"/>
                <w:color w:val="auto"/>
                <w:sz w:val="21"/>
                <w:szCs w:val="21"/>
              </w:rPr>
              <w:t>绿植</w:t>
            </w:r>
            <w:r>
              <w:rPr>
                <w:rFonts w:hint="eastAsia" w:ascii="Times New Roman" w:hAnsi="Times New Roman"/>
                <w:color w:val="auto"/>
                <w:sz w:val="21"/>
                <w:szCs w:val="21"/>
              </w:rPr>
              <w:tab/>
            </w:r>
            <w:r>
              <w:rPr>
                <w:rFonts w:hint="eastAsia" w:ascii="Times New Roman" w:hAnsi="Times New Roman"/>
                <w:color w:val="auto"/>
                <w:sz w:val="21"/>
                <w:szCs w:val="21"/>
              </w:rPr>
              <w:t>0.5万</w:t>
            </w:r>
          </w:p>
          <w:p>
            <w:pPr>
              <w:rPr>
                <w:rFonts w:hint="eastAsia" w:ascii="Times New Roman" w:hAnsi="Times New Roman"/>
                <w:color w:val="auto"/>
                <w:sz w:val="21"/>
                <w:szCs w:val="21"/>
              </w:rPr>
            </w:pPr>
            <w:r>
              <w:rPr>
                <w:rFonts w:hint="eastAsia" w:ascii="Times New Roman" w:hAnsi="Times New Roman"/>
                <w:color w:val="auto"/>
                <w:sz w:val="21"/>
                <w:szCs w:val="21"/>
              </w:rPr>
              <w:t>办公设施</w:t>
            </w:r>
            <w:r>
              <w:rPr>
                <w:rFonts w:hint="eastAsia" w:ascii="Times New Roman" w:hAnsi="Times New Roman"/>
                <w:color w:val="auto"/>
                <w:sz w:val="21"/>
                <w:szCs w:val="21"/>
              </w:rPr>
              <w:tab/>
            </w:r>
            <w:r>
              <w:rPr>
                <w:rFonts w:hint="eastAsia" w:ascii="Times New Roman" w:hAnsi="Times New Roman"/>
                <w:color w:val="auto"/>
                <w:sz w:val="21"/>
                <w:szCs w:val="21"/>
              </w:rPr>
              <w:t>5万</w:t>
            </w:r>
          </w:p>
          <w:p>
            <w:pPr>
              <w:rPr>
                <w:rFonts w:hint="eastAsia" w:ascii="Times New Roman" w:hAnsi="Times New Roman"/>
                <w:color w:val="auto"/>
                <w:sz w:val="21"/>
                <w:szCs w:val="21"/>
              </w:rPr>
            </w:pPr>
            <w:r>
              <w:rPr>
                <w:rFonts w:hint="eastAsia" w:ascii="Times New Roman" w:hAnsi="Times New Roman"/>
                <w:color w:val="auto"/>
                <w:sz w:val="21"/>
                <w:szCs w:val="21"/>
              </w:rPr>
              <w:t>劳保用品</w:t>
            </w:r>
            <w:r>
              <w:rPr>
                <w:rFonts w:hint="eastAsia" w:ascii="Times New Roman" w:hAnsi="Times New Roman"/>
                <w:color w:val="auto"/>
                <w:sz w:val="21"/>
                <w:szCs w:val="21"/>
              </w:rPr>
              <w:tab/>
            </w:r>
            <w:r>
              <w:rPr>
                <w:rFonts w:hint="eastAsia" w:ascii="Times New Roman" w:hAnsi="Times New Roman"/>
                <w:color w:val="auto"/>
                <w:sz w:val="21"/>
                <w:szCs w:val="21"/>
              </w:rPr>
              <w:t>0.8万</w:t>
            </w:r>
          </w:p>
          <w:p>
            <w:pPr>
              <w:rPr>
                <w:rFonts w:hint="eastAsia" w:ascii="Times New Roman" w:hAnsi="Times New Roman"/>
                <w:color w:val="auto"/>
                <w:sz w:val="21"/>
                <w:szCs w:val="21"/>
              </w:rPr>
            </w:pPr>
            <w:r>
              <w:rPr>
                <w:rFonts w:hint="eastAsia" w:ascii="Times New Roman" w:hAnsi="Times New Roman"/>
                <w:color w:val="auto"/>
                <w:sz w:val="21"/>
                <w:szCs w:val="21"/>
              </w:rPr>
              <w:t>员工体检</w:t>
            </w:r>
            <w:r>
              <w:rPr>
                <w:rFonts w:hint="eastAsia" w:ascii="Times New Roman" w:hAnsi="Times New Roman"/>
                <w:color w:val="auto"/>
                <w:sz w:val="21"/>
                <w:szCs w:val="21"/>
              </w:rPr>
              <w:tab/>
            </w:r>
            <w:r>
              <w:rPr>
                <w:rFonts w:hint="eastAsia" w:ascii="Times New Roman" w:hAnsi="Times New Roman"/>
                <w:color w:val="auto"/>
                <w:sz w:val="21"/>
                <w:szCs w:val="21"/>
              </w:rPr>
              <w:t>1万</w:t>
            </w:r>
          </w:p>
          <w:p>
            <w:pPr>
              <w:rPr>
                <w:rFonts w:hint="eastAsia"/>
                <w:color w:val="auto"/>
                <w:sz w:val="21"/>
                <w:szCs w:val="21"/>
              </w:rPr>
            </w:pPr>
            <w:r>
              <w:rPr>
                <w:rFonts w:hint="eastAsia" w:ascii="Times New Roman" w:hAnsi="Times New Roman"/>
                <w:color w:val="auto"/>
                <w:sz w:val="21"/>
                <w:szCs w:val="21"/>
              </w:rPr>
              <w:t>认证资质维护</w:t>
            </w:r>
            <w:r>
              <w:rPr>
                <w:rFonts w:hint="eastAsia" w:ascii="Times New Roman" w:hAnsi="Times New Roman"/>
                <w:color w:val="auto"/>
                <w:sz w:val="21"/>
                <w:szCs w:val="21"/>
              </w:rPr>
              <w:tab/>
            </w:r>
            <w:r>
              <w:rPr>
                <w:rFonts w:hint="eastAsia" w:ascii="Times New Roman" w:hAnsi="Times New Roman"/>
                <w:color w:val="auto"/>
                <w:sz w:val="21"/>
                <w:szCs w:val="21"/>
              </w:rPr>
              <w:t>4万</w:t>
            </w:r>
          </w:p>
          <w:p>
            <w:pPr>
              <w:rPr>
                <w:rFonts w:hint="eastAsia"/>
                <w:sz w:val="21"/>
                <w:szCs w:val="21"/>
              </w:rPr>
            </w:pPr>
            <w:r>
              <w:rPr>
                <w:rFonts w:hint="default" w:ascii="Arial" w:hAnsi="Arial" w:cs="Arial"/>
                <w:color w:val="auto"/>
                <w:sz w:val="21"/>
                <w:szCs w:val="21"/>
              </w:rPr>
              <w:t>……</w:t>
            </w:r>
          </w:p>
        </w:tc>
        <w:tc>
          <w:tcPr>
            <w:tcW w:w="501" w:type="dxa"/>
            <w:noWrap w:val="0"/>
            <w:vAlign w:val="center"/>
          </w:tcPr>
          <w:p>
            <w:pPr>
              <w:rPr>
                <w:rFonts w:hint="eastAsia"/>
                <w:sz w:val="21"/>
                <w:szCs w:val="21"/>
              </w:rPr>
            </w:pPr>
            <w:r>
              <w:rPr>
                <w:rFonts w:hint="eastAsia"/>
                <w:sz w:val="21"/>
                <w:szCs w:val="21"/>
              </w:rPr>
              <w:t>Y</w:t>
            </w:r>
          </w:p>
        </w:tc>
      </w:tr>
    </w:tbl>
    <w:p>
      <w:pPr>
        <w:pStyle w:val="5"/>
        <w:rPr>
          <w:rFonts w:hint="eastAsia" w:asciiTheme="minorEastAsia" w:hAnsiTheme="minorEastAsia" w:eastAsiaTheme="minorEastAsia" w:cstheme="minorEastAsia"/>
        </w:rPr>
      </w:pPr>
    </w:p>
    <w:p>
      <w:pPr>
        <w:pStyle w:val="5"/>
        <w:rPr>
          <w:rFonts w:hint="eastAsia" w:asciiTheme="minorEastAsia" w:hAnsiTheme="minorEastAsia" w:eastAsiaTheme="minorEastAsia" w:cstheme="minorEastAsia"/>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lang w:eastAsia="zh-CN"/>
        </w:rPr>
        <w:tab/>
      </w: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3</w:t>
      </w:r>
    </w:p>
    <w:p>
      <w:pPr>
        <w:pStyle w:val="5"/>
        <w:rPr>
          <w:rFonts w:hint="eastAsia" w:asciiTheme="minorEastAsia" w:hAnsiTheme="minorEastAsia" w:eastAsiaTheme="minorEastAsia" w:cstheme="minorEastAsi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255"/>
        <w:gridCol w:w="11589"/>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5"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1255"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589"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val="en-US" w:eastAsia="zh-CN"/>
              </w:rPr>
              <w:t xml:space="preserve">生产部          </w:t>
            </w: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sz w:val="21"/>
                <w:szCs w:val="21"/>
                <w:lang w:val="en-US" w:eastAsia="zh-CN"/>
              </w:rPr>
              <w:t xml:space="preserve">吴亮                 </w:t>
            </w:r>
          </w:p>
        </w:tc>
        <w:tc>
          <w:tcPr>
            <w:tcW w:w="48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5" w:type="dxa"/>
            <w:vMerge w:val="continue"/>
            <w:vAlign w:val="center"/>
          </w:tcPr>
          <w:p>
            <w:pPr>
              <w:rPr>
                <w:rFonts w:hint="eastAsia" w:asciiTheme="minorEastAsia" w:hAnsiTheme="minorEastAsia" w:eastAsiaTheme="minorEastAsia" w:cstheme="minorEastAsia"/>
                <w:sz w:val="21"/>
                <w:szCs w:val="21"/>
              </w:rPr>
            </w:pPr>
          </w:p>
        </w:tc>
        <w:tc>
          <w:tcPr>
            <w:tcW w:w="1255" w:type="dxa"/>
            <w:vMerge w:val="continue"/>
            <w:vAlign w:val="center"/>
          </w:tcPr>
          <w:p>
            <w:pPr>
              <w:rPr>
                <w:rFonts w:hint="eastAsia" w:asciiTheme="minorEastAsia" w:hAnsiTheme="minorEastAsia" w:eastAsiaTheme="minorEastAsia" w:cstheme="minorEastAsia"/>
                <w:sz w:val="21"/>
                <w:szCs w:val="21"/>
              </w:rPr>
            </w:pPr>
          </w:p>
        </w:tc>
        <w:tc>
          <w:tcPr>
            <w:tcW w:w="11589" w:type="dxa"/>
            <w:vAlign w:val="center"/>
          </w:tcPr>
          <w:p>
            <w:pPr>
              <w:spacing w:before="1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 xml:space="preserve">王志慧          </w:t>
            </w:r>
            <w:r>
              <w:rPr>
                <w:rFonts w:hint="eastAsia" w:asciiTheme="minorEastAsia" w:hAnsiTheme="minorEastAsia" w:eastAsiaTheme="minorEastAsia" w:cstheme="minorEastAsia"/>
                <w:sz w:val="21"/>
                <w:szCs w:val="21"/>
              </w:rPr>
              <w:t>审核时间：</w:t>
            </w:r>
            <w:r>
              <w:rPr>
                <w:rFonts w:hint="eastAsia" w:ascii="宋体" w:hAnsi="宋体"/>
                <w:b/>
                <w:sz w:val="21"/>
                <w:szCs w:val="21"/>
              </w:rPr>
              <w:t>2021年01月1</w:t>
            </w:r>
            <w:r>
              <w:rPr>
                <w:rFonts w:ascii="宋体" w:hAnsi="宋体"/>
                <w:b/>
                <w:sz w:val="21"/>
                <w:szCs w:val="21"/>
              </w:rPr>
              <w:t>8</w:t>
            </w:r>
            <w:r>
              <w:rPr>
                <w:rFonts w:hint="eastAsia" w:ascii="宋体" w:hAnsi="宋体"/>
                <w:b/>
                <w:sz w:val="21"/>
                <w:szCs w:val="21"/>
              </w:rPr>
              <w:t>日</w:t>
            </w:r>
          </w:p>
        </w:tc>
        <w:tc>
          <w:tcPr>
            <w:tcW w:w="48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5" w:type="dxa"/>
            <w:vMerge w:val="continue"/>
            <w:vAlign w:val="center"/>
          </w:tcPr>
          <w:p>
            <w:pPr>
              <w:rPr>
                <w:rFonts w:hint="eastAsia" w:asciiTheme="minorEastAsia" w:hAnsiTheme="minorEastAsia" w:eastAsiaTheme="minorEastAsia" w:cstheme="minorEastAsia"/>
                <w:sz w:val="21"/>
                <w:szCs w:val="21"/>
              </w:rPr>
            </w:pPr>
          </w:p>
        </w:tc>
        <w:tc>
          <w:tcPr>
            <w:tcW w:w="1255" w:type="dxa"/>
            <w:vMerge w:val="continue"/>
            <w:vAlign w:val="center"/>
          </w:tcPr>
          <w:p>
            <w:pPr>
              <w:rPr>
                <w:rFonts w:hint="eastAsia" w:asciiTheme="minorEastAsia" w:hAnsiTheme="minorEastAsia" w:eastAsiaTheme="minorEastAsia" w:cstheme="minorEastAsia"/>
                <w:sz w:val="21"/>
                <w:szCs w:val="21"/>
              </w:rPr>
            </w:pPr>
          </w:p>
        </w:tc>
        <w:tc>
          <w:tcPr>
            <w:tcW w:w="11589"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审核条款：</w:t>
            </w:r>
            <w:r>
              <w:rPr>
                <w:rFonts w:hint="eastAsia" w:asciiTheme="minorEastAsia" w:hAnsiTheme="minorEastAsia" w:eastAsiaTheme="minorEastAsia" w:cstheme="minorEastAsia"/>
                <w:b/>
                <w:bCs/>
                <w:sz w:val="21"/>
                <w:szCs w:val="21"/>
              </w:rPr>
              <w:t>O:5.3/5.4/6.1.2/7.5/8.1.2/8.1.3/8.2/9.1.1</w:t>
            </w:r>
          </w:p>
        </w:tc>
        <w:tc>
          <w:tcPr>
            <w:tcW w:w="48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85" w:type="dxa"/>
          </w:tcPr>
          <w:p>
            <w:pPr>
              <w:rPr>
                <w:rFonts w:hint="eastAsia"/>
                <w:color w:val="auto"/>
              </w:rPr>
            </w:pPr>
            <w:r>
              <w:rPr>
                <w:rFonts w:hint="eastAsia"/>
                <w:color w:val="auto"/>
              </w:rPr>
              <w:t>危险源辨识及风险和机遇的评价</w:t>
            </w:r>
          </w:p>
          <w:p>
            <w:pPr>
              <w:pStyle w:val="2"/>
              <w:rPr>
                <w:rStyle w:val="9"/>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lang w:val="en-US" w:eastAsia="zh-CN"/>
              </w:rPr>
            </w:pPr>
            <w:bookmarkStart w:id="2" w:name="_Toc17985698"/>
            <w:r>
              <w:rPr>
                <w:rFonts w:hint="eastAsia" w:asciiTheme="minorEastAsia" w:hAnsiTheme="minorEastAsia" w:eastAsiaTheme="minorEastAsia" w:cstheme="minorEastAsia"/>
                <w:color w:val="auto"/>
                <w:sz w:val="21"/>
                <w:szCs w:val="21"/>
                <w:lang w:val="en-US" w:eastAsia="zh-CN"/>
              </w:rPr>
              <w:t>合规性评价</w:t>
            </w:r>
            <w:bookmarkEnd w:id="2"/>
          </w:p>
          <w:p>
            <w:pPr>
              <w:pStyle w:val="2"/>
              <w:rPr>
                <w:rStyle w:val="9"/>
                <w:rFonts w:hint="eastAsia" w:asciiTheme="minorEastAsia" w:hAnsiTheme="minorEastAsia" w:eastAsiaTheme="minorEastAsia" w:cstheme="minorEastAsia"/>
                <w:color w:val="auto"/>
                <w:sz w:val="21"/>
                <w:szCs w:val="21"/>
              </w:rPr>
            </w:pPr>
          </w:p>
        </w:tc>
        <w:tc>
          <w:tcPr>
            <w:tcW w:w="1255" w:type="dxa"/>
          </w:tcPr>
          <w:p>
            <w:pPr>
              <w:rPr>
                <w:rFonts w:hint="eastAsia"/>
                <w:color w:val="auto"/>
              </w:rPr>
            </w:pPr>
            <w:r>
              <w:rPr>
                <w:rFonts w:hint="eastAsia"/>
                <w:color w:val="auto"/>
              </w:rPr>
              <w:t>O:6.1.2</w:t>
            </w:r>
          </w:p>
          <w:p>
            <w:pPr>
              <w:pStyle w:val="2"/>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bCs/>
                <w:color w:val="auto"/>
                <w:sz w:val="21"/>
                <w:szCs w:val="21"/>
              </w:rPr>
            </w:pPr>
          </w:p>
          <w:p>
            <w:pPr>
              <w:rPr>
                <w:rFonts w:hint="eastAsia"/>
                <w:color w:val="auto"/>
              </w:rPr>
            </w:pPr>
            <w:r>
              <w:rPr>
                <w:rFonts w:hint="eastAsia"/>
                <w:color w:val="auto"/>
              </w:rPr>
              <w:t>O:</w:t>
            </w:r>
            <w:r>
              <w:rPr>
                <w:rFonts w:hint="eastAsia"/>
                <w:color w:val="auto"/>
                <w:lang w:val="en-US" w:eastAsia="zh-CN"/>
              </w:rPr>
              <w:t>9</w:t>
            </w:r>
            <w:r>
              <w:rPr>
                <w:rFonts w:hint="eastAsia"/>
                <w:color w:val="auto"/>
              </w:rPr>
              <w:t>.1.2</w:t>
            </w:r>
          </w:p>
          <w:p>
            <w:pPr>
              <w:pStyle w:val="2"/>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bCs/>
                <w:color w:val="auto"/>
                <w:sz w:val="21"/>
                <w:szCs w:val="21"/>
              </w:rPr>
            </w:pPr>
          </w:p>
        </w:tc>
        <w:tc>
          <w:tcPr>
            <w:tcW w:w="11589" w:type="dxa"/>
          </w:tcPr>
          <w:p>
            <w:pPr>
              <w:spacing w:line="360" w:lineRule="auto"/>
              <w:ind w:firstLine="420" w:firstLineChars="200"/>
              <w:jc w:val="both"/>
              <w:rPr>
                <w:rFonts w:hint="eastAsia"/>
                <w:color w:val="auto"/>
              </w:rPr>
            </w:pPr>
            <w:r>
              <w:rPr>
                <w:rFonts w:hint="eastAsia"/>
                <w:color w:val="auto"/>
              </w:rPr>
              <w:t>提供了职业安全健康管理体系危险源辨识、风险评价、风险控制一览表，内容有：活动场所、危险类别、危害类别、危险发生的可能性L、损失后果C、频繁程度E、控制措施等。识别出项目部危险源有：</w:t>
            </w:r>
            <w:r>
              <w:rPr>
                <w:rFonts w:hint="eastAsia"/>
                <w:color w:val="auto"/>
                <w:lang w:eastAsia="zh-CN"/>
              </w:rPr>
              <w:t>触电、火灾、机械伤害</w:t>
            </w:r>
            <w:r>
              <w:rPr>
                <w:rFonts w:hint="eastAsia"/>
                <w:color w:val="auto"/>
              </w:rPr>
              <w:t>等。优先控制风险采用“LEC”方法进行评价。提供</w:t>
            </w:r>
            <w:r>
              <w:rPr>
                <w:rFonts w:hint="eastAsia"/>
                <w:color w:val="auto"/>
                <w:lang w:eastAsia="zh-CN"/>
              </w:rPr>
              <w:t>“</w:t>
            </w:r>
            <w:r>
              <w:rPr>
                <w:rFonts w:hint="eastAsia"/>
                <w:color w:val="auto"/>
              </w:rPr>
              <w:t>控制风险清单</w:t>
            </w:r>
            <w:r>
              <w:rPr>
                <w:rFonts w:hint="eastAsia"/>
                <w:color w:val="auto"/>
                <w:lang w:eastAsia="zh-CN"/>
              </w:rPr>
              <w:t>”</w:t>
            </w:r>
            <w:r>
              <w:rPr>
                <w:rFonts w:hint="eastAsia"/>
                <w:color w:val="auto"/>
              </w:rPr>
              <w:t>，不可接受风险有：</w:t>
            </w:r>
            <w:r>
              <w:rPr>
                <w:rFonts w:hint="eastAsia"/>
                <w:color w:val="auto"/>
                <w:lang w:eastAsia="zh-CN"/>
              </w:rPr>
              <w:t>火灾</w:t>
            </w:r>
            <w:r>
              <w:rPr>
                <w:rFonts w:hint="eastAsia"/>
                <w:color w:val="auto"/>
              </w:rPr>
              <w:t>；触电；</w:t>
            </w:r>
            <w:r>
              <w:rPr>
                <w:rFonts w:hint="eastAsia"/>
                <w:color w:val="auto"/>
                <w:lang w:eastAsia="zh-CN"/>
              </w:rPr>
              <w:t>机械伤害</w:t>
            </w:r>
            <w:r>
              <w:rPr>
                <w:rFonts w:hint="eastAsia"/>
                <w:color w:val="auto"/>
              </w:rPr>
              <w:t>。</w:t>
            </w:r>
          </w:p>
          <w:p>
            <w:pPr>
              <w:rPr>
                <w:rFonts w:hint="eastAsia"/>
                <w:color w:val="auto"/>
              </w:rPr>
            </w:pPr>
            <w:r>
              <w:rPr>
                <w:rFonts w:hint="eastAsia"/>
                <w:color w:val="auto"/>
              </w:rPr>
              <w:t>以上危险源识别基本全面、无遗漏，评价基本合理。</w:t>
            </w:r>
          </w:p>
          <w:p>
            <w:pPr>
              <w:spacing w:line="40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按照公司建立的体系</w:t>
            </w:r>
            <w:r>
              <w:rPr>
                <w:rFonts w:hint="eastAsia" w:asciiTheme="minorEastAsia" w:hAnsiTheme="minorEastAsia" w:eastAsiaTheme="minorEastAsia" w:cstheme="minorEastAsia"/>
                <w:color w:val="auto"/>
                <w:sz w:val="21"/>
                <w:szCs w:val="21"/>
                <w:lang w:val="en-US" w:eastAsia="zh-CN"/>
              </w:rPr>
              <w:t>手册中规定</w:t>
            </w:r>
            <w:r>
              <w:rPr>
                <w:rFonts w:hint="eastAsia" w:asciiTheme="minorEastAsia" w:hAnsiTheme="minorEastAsia" w:eastAsiaTheme="minorEastAsia" w:cstheme="minorEastAsia"/>
                <w:color w:val="auto"/>
                <w:sz w:val="21"/>
                <w:szCs w:val="21"/>
              </w:rPr>
              <w:t>合规性评价</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明确了职业健康安全管理体系合规性评价的管理职责、管理规定和记录要求，规定了评价的范围、时机、频次、评价结果的报告等具体要求，体系建立以来未发生重要更改变化，</w:t>
            </w:r>
            <w:r>
              <w:rPr>
                <w:rFonts w:hint="eastAsia" w:asciiTheme="minorEastAsia" w:hAnsiTheme="minorEastAsia" w:eastAsiaTheme="minorEastAsia" w:cstheme="minorEastAsia"/>
                <w:color w:val="auto"/>
                <w:sz w:val="21"/>
                <w:szCs w:val="21"/>
                <w:lang w:val="en-US" w:eastAsia="zh-CN"/>
              </w:rPr>
              <w:t>基本符合</w:t>
            </w:r>
            <w:r>
              <w:rPr>
                <w:rFonts w:hint="eastAsia" w:asciiTheme="minorEastAsia" w:hAnsiTheme="minorEastAsia" w:eastAsiaTheme="minorEastAsia" w:cstheme="minorEastAsia"/>
                <w:color w:val="auto"/>
                <w:sz w:val="21"/>
                <w:szCs w:val="21"/>
              </w:rPr>
              <w:t>。</w:t>
            </w:r>
          </w:p>
          <w:p>
            <w:pPr>
              <w:spacing w:line="400" w:lineRule="exact"/>
              <w:ind w:firstLine="48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查到</w:t>
            </w:r>
            <w:r>
              <w:rPr>
                <w:rFonts w:hint="eastAsia" w:asciiTheme="minorEastAsia" w:hAnsiTheme="minorEastAsia" w:eastAsiaTheme="minorEastAsia" w:cstheme="minorEastAsia"/>
                <w:color w:val="auto"/>
                <w:sz w:val="21"/>
                <w:szCs w:val="21"/>
                <w:lang w:eastAsia="zh-CN"/>
              </w:rPr>
              <w:t>“职业健康安全风险评估控制表”“风险和机遇识别及应对措施表”“</w:t>
            </w:r>
            <w:r>
              <w:rPr>
                <w:rFonts w:hint="eastAsia" w:asciiTheme="minorEastAsia" w:hAnsiTheme="minorEastAsia" w:eastAsiaTheme="minorEastAsia" w:cstheme="minorEastAsia"/>
                <w:color w:val="auto"/>
                <w:sz w:val="21"/>
                <w:szCs w:val="21"/>
              </w:rPr>
              <w:t>合规性评价报告</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，记录了对照公司适用的职业健康安全法律法规的相关条款的合规性评价的实施情况，</w:t>
            </w:r>
            <w:r>
              <w:rPr>
                <w:rFonts w:hint="eastAsia" w:asciiTheme="minorEastAsia" w:hAnsiTheme="minorEastAsia" w:eastAsiaTheme="minorEastAsia" w:cstheme="minorEastAsia"/>
                <w:color w:val="auto"/>
                <w:sz w:val="21"/>
                <w:szCs w:val="21"/>
                <w:lang w:val="en-US" w:eastAsia="zh-CN"/>
              </w:rPr>
              <w:t>评价日期：</w:t>
            </w:r>
            <w:r>
              <w:rPr>
                <w:rFonts w:hint="eastAsia" w:asciiTheme="minorEastAsia" w:hAnsiTheme="minorEastAsia" w:eastAsiaTheme="minorEastAsia" w:cstheme="minorEastAsia"/>
                <w:color w:val="auto"/>
                <w:sz w:val="21"/>
                <w:szCs w:val="21"/>
              </w:rPr>
              <w:t>2020.10.15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编制人：魏亿枫</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 xml:space="preserve"> 批准人张宇栋 评价结论：未发生严重违法违规情况，</w:t>
            </w:r>
            <w:r>
              <w:rPr>
                <w:rFonts w:hint="eastAsia" w:asciiTheme="minorEastAsia" w:hAnsiTheme="minorEastAsia" w:eastAsiaTheme="minorEastAsia" w:cstheme="minorEastAsia"/>
                <w:color w:val="auto"/>
                <w:sz w:val="21"/>
                <w:szCs w:val="21"/>
                <w:lang w:val="en-US" w:eastAsia="zh-CN"/>
              </w:rPr>
              <w:t>基本符合</w:t>
            </w:r>
            <w:r>
              <w:rPr>
                <w:rFonts w:hint="eastAsia" w:asciiTheme="minorEastAsia" w:hAnsiTheme="minorEastAsia" w:eastAsiaTheme="minorEastAsia" w:cstheme="minorEastAsia"/>
                <w:color w:val="auto"/>
                <w:sz w:val="21"/>
                <w:szCs w:val="21"/>
              </w:rPr>
              <w:t>。</w:t>
            </w:r>
          </w:p>
          <w:p>
            <w:pPr>
              <w:pStyle w:val="2"/>
              <w:rPr>
                <w:rFonts w:hint="eastAsia"/>
                <w:color w:val="auto"/>
              </w:rPr>
            </w:pPr>
            <w:r>
              <w:rPr>
                <w:rFonts w:hint="eastAsia" w:asciiTheme="minorEastAsia" w:hAnsiTheme="minorEastAsia" w:eastAsiaTheme="minorEastAsia" w:cstheme="minorEastAsia"/>
                <w:color w:val="auto"/>
                <w:sz w:val="21"/>
                <w:szCs w:val="21"/>
              </w:rPr>
              <w:t>合规性评价的实施基本有效。</w:t>
            </w:r>
          </w:p>
        </w:tc>
        <w:tc>
          <w:tcPr>
            <w:tcW w:w="480"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385" w:type="dxa"/>
            <w:vAlign w:val="top"/>
          </w:tcPr>
          <w:p>
            <w:pPr>
              <w:spacing w:line="280" w:lineRule="exact"/>
              <w:rPr>
                <w:rFonts w:hint="eastAsia"/>
                <w:color w:val="auto"/>
                <w:highlight w:val="none"/>
              </w:rPr>
            </w:pPr>
            <w:r>
              <w:rPr>
                <w:rFonts w:hint="eastAsia"/>
                <w:color w:val="auto"/>
                <w:highlight w:val="none"/>
              </w:rPr>
              <w:t>运行</w:t>
            </w:r>
            <w:r>
              <w:rPr>
                <w:rFonts w:hint="eastAsia"/>
                <w:color w:val="auto"/>
                <w:highlight w:val="none"/>
                <w:lang w:val="en-US" w:eastAsia="zh-CN"/>
              </w:rPr>
              <w:t>得策划和</w:t>
            </w:r>
            <w:r>
              <w:rPr>
                <w:rFonts w:hint="eastAsia"/>
                <w:color w:val="auto"/>
                <w:highlight w:val="none"/>
              </w:rPr>
              <w:t>控制</w:t>
            </w:r>
          </w:p>
          <w:p>
            <w:pPr>
              <w:pStyle w:val="2"/>
              <w:rPr>
                <w:rFonts w:hint="eastAsia" w:asciiTheme="minorEastAsia" w:hAnsiTheme="minorEastAsia" w:eastAsiaTheme="minorEastAsia" w:cstheme="minorEastAsia"/>
                <w:color w:val="auto"/>
                <w:kern w:val="0"/>
                <w:sz w:val="21"/>
                <w:szCs w:val="21"/>
                <w:highlight w:val="none"/>
              </w:rPr>
            </w:pPr>
          </w:p>
          <w:p>
            <w:pPr>
              <w:pStyle w:val="2"/>
              <w:rPr>
                <w:rFonts w:hint="eastAsia" w:asciiTheme="minorEastAsia" w:hAnsiTheme="minorEastAsia" w:eastAsiaTheme="minorEastAsia" w:cstheme="minorEastAsia"/>
                <w:color w:val="auto"/>
                <w:kern w:val="0"/>
                <w:sz w:val="21"/>
                <w:szCs w:val="21"/>
                <w:highlight w:val="none"/>
                <w:lang w:val="en-US" w:eastAsia="zh-CN"/>
              </w:rPr>
            </w:pPr>
          </w:p>
        </w:tc>
        <w:tc>
          <w:tcPr>
            <w:tcW w:w="1255" w:type="dxa"/>
            <w:vAlign w:val="top"/>
          </w:tcPr>
          <w:p>
            <w:pPr>
              <w:spacing w:line="280" w:lineRule="exact"/>
              <w:rPr>
                <w:rFonts w:hint="eastAsia"/>
                <w:color w:val="auto"/>
                <w:highlight w:val="none"/>
                <w:lang w:val="en-US" w:eastAsia="zh-CN"/>
              </w:rPr>
            </w:pPr>
            <w:r>
              <w:rPr>
                <w:rFonts w:hint="eastAsia"/>
                <w:color w:val="auto"/>
                <w:highlight w:val="none"/>
                <w:lang w:val="en-US" w:eastAsia="zh-CN"/>
              </w:rPr>
              <w:t>O 8.1</w:t>
            </w:r>
          </w:p>
          <w:p>
            <w:pPr>
              <w:pStyle w:val="2"/>
              <w:rPr>
                <w:rFonts w:hint="eastAsia" w:asciiTheme="minorEastAsia" w:hAnsiTheme="minorEastAsia" w:eastAsiaTheme="minorEastAsia" w:cstheme="minorEastAsia"/>
                <w:color w:val="auto"/>
                <w:kern w:val="0"/>
                <w:sz w:val="21"/>
                <w:szCs w:val="21"/>
                <w:highlight w:val="none"/>
                <w:lang w:val="en-US" w:eastAsia="zh-CN"/>
              </w:rPr>
            </w:pPr>
          </w:p>
          <w:p>
            <w:pPr>
              <w:pStyle w:val="2"/>
              <w:rPr>
                <w:rFonts w:hint="eastAsia" w:asciiTheme="minorEastAsia" w:hAnsiTheme="minorEastAsia" w:eastAsiaTheme="minorEastAsia" w:cstheme="minorEastAsia"/>
                <w:color w:val="auto"/>
                <w:kern w:val="0"/>
                <w:sz w:val="21"/>
                <w:szCs w:val="21"/>
                <w:highlight w:val="none"/>
                <w:lang w:val="en-US" w:eastAsia="zh-CN"/>
              </w:rPr>
            </w:pPr>
          </w:p>
          <w:p>
            <w:pPr>
              <w:pStyle w:val="2"/>
              <w:rPr>
                <w:rFonts w:hint="default" w:asciiTheme="minorEastAsia" w:hAnsiTheme="minorEastAsia" w:eastAsiaTheme="minorEastAsia" w:cstheme="minorEastAsia"/>
                <w:color w:val="auto"/>
                <w:kern w:val="0"/>
                <w:sz w:val="21"/>
                <w:szCs w:val="21"/>
                <w:highlight w:val="none"/>
                <w:lang w:val="en-US" w:eastAsia="zh-CN"/>
              </w:rPr>
            </w:pPr>
          </w:p>
        </w:tc>
        <w:tc>
          <w:tcPr>
            <w:tcW w:w="11589" w:type="dxa"/>
            <w:vAlign w:val="center"/>
          </w:tcPr>
          <w:p>
            <w:pPr>
              <w:rPr>
                <w:rFonts w:hint="eastAsia"/>
                <w:color w:val="auto"/>
                <w:highlight w:val="none"/>
                <w:lang w:val="en-US" w:eastAsia="zh-CN"/>
              </w:rPr>
            </w:pPr>
            <w:r>
              <w:rPr>
                <w:rFonts w:hint="eastAsia"/>
                <w:color w:val="auto"/>
                <w:sz w:val="21"/>
                <w:szCs w:val="21"/>
                <w:highlight w:val="none"/>
                <w:lang w:val="en-US" w:eastAsia="zh-CN"/>
              </w:rPr>
              <w:t>了解生产工艺为：</w:t>
            </w:r>
            <w:r>
              <w:rPr>
                <w:rFonts w:hint="eastAsia"/>
                <w:color w:val="auto"/>
                <w:highlight w:val="none"/>
                <w:lang w:val="en-US" w:eastAsia="zh-CN"/>
              </w:rPr>
              <w:t>板式家具流程图</w:t>
            </w:r>
          </w:p>
          <w:p>
            <w:pPr>
              <w:pStyle w:val="2"/>
              <w:rPr>
                <w:rFonts w:hint="eastAsia"/>
                <w:color w:val="auto"/>
                <w:highlight w:val="none"/>
                <w:lang w:val="en-US" w:eastAsia="zh-CN"/>
              </w:rPr>
            </w:pPr>
            <w:r>
              <w:rPr>
                <w:rFonts w:hint="eastAsia"/>
                <w:color w:val="auto"/>
                <w:highlight w:val="none"/>
                <w:lang w:val="en-US" w:eastAsia="zh-CN"/>
              </w:rPr>
              <w:t>顾客需求→下料→封边→五金安装→清洁→包装</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生产设备：180电子锯、下料锯、推台锯、封边机、开槽机、160加工中心、侧孔机、包装自动线、塑封机、抓板机、中央吸尘等。</w:t>
            </w:r>
          </w:p>
          <w:p>
            <w:pPr>
              <w:pStyle w:val="2"/>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b/>
                <w:bCs w:val="0"/>
                <w:sz w:val="21"/>
                <w:szCs w:val="21"/>
                <w:highlight w:val="none"/>
                <w:lang w:eastAsia="zh-CN"/>
              </w:rPr>
              <w:t>查特种设备：</w:t>
            </w:r>
            <w:r>
              <w:rPr>
                <w:rFonts w:hint="eastAsia" w:asciiTheme="minorEastAsia" w:hAnsiTheme="minorEastAsia" w:eastAsiaTheme="minorEastAsia" w:cstheme="minorEastAsia"/>
                <w:sz w:val="21"/>
                <w:szCs w:val="21"/>
                <w:highlight w:val="none"/>
                <w:lang w:eastAsia="zh-CN"/>
              </w:rPr>
              <w:t>名称</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内部标号</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eastAsia="zh-CN"/>
              </w:rPr>
              <w:t>设备代码</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eastAsia="zh-CN"/>
              </w:rPr>
              <w:t>使用证编号</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eastAsia="zh-CN"/>
              </w:rPr>
              <w:t>检验日期</w:t>
            </w:r>
          </w:p>
          <w:p>
            <w:pPr>
              <w:pStyle w:val="2"/>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叉车</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w6454</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lang w:eastAsia="zh-CN"/>
              </w:rPr>
              <w:t>511074677583020190044</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车11皖mm300115（19）</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2020/7/29</w:t>
            </w:r>
          </w:p>
          <w:p>
            <w:pPr>
              <w:pStyle w:val="2"/>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叉车</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厂内2号</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511074677583020190050</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车11皖mm300120（19）</w:t>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ab/>
            </w:r>
            <w:r>
              <w:rPr>
                <w:rFonts w:hint="eastAsia" w:asciiTheme="minorEastAsia" w:hAnsiTheme="minorEastAsia" w:eastAsiaTheme="minorEastAsia" w:cstheme="minorEastAsia"/>
                <w:sz w:val="21"/>
                <w:szCs w:val="21"/>
                <w:highlight w:val="none"/>
                <w:lang w:eastAsia="zh-CN"/>
              </w:rPr>
              <w:t>2020/8/26</w:t>
            </w:r>
          </w:p>
          <w:p>
            <w:pPr>
              <w:pStyle w:val="2"/>
              <w:rPr>
                <w:highlight w:val="none"/>
              </w:rPr>
            </w:pPr>
            <w:r>
              <w:rPr>
                <w:highlight w:val="none"/>
              </w:rPr>
              <w:drawing>
                <wp:inline distT="0" distB="0" distL="114300" distR="114300">
                  <wp:extent cx="1308735" cy="1471930"/>
                  <wp:effectExtent l="0" t="0" r="571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308735" cy="147193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125855" cy="1558925"/>
                  <wp:effectExtent l="0" t="0" r="1714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125855" cy="155892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252855" cy="1569720"/>
                  <wp:effectExtent l="0" t="0" r="444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252855" cy="1569720"/>
                          </a:xfrm>
                          <a:prstGeom prst="rect">
                            <a:avLst/>
                          </a:prstGeom>
                          <a:noFill/>
                          <a:ln>
                            <a:noFill/>
                          </a:ln>
                        </pic:spPr>
                      </pic:pic>
                    </a:graphicData>
                  </a:graphic>
                </wp:inline>
              </w:drawing>
            </w:r>
            <w:r>
              <w:rPr>
                <w:highlight w:val="none"/>
              </w:rPr>
              <w:drawing>
                <wp:inline distT="0" distB="0" distL="114300" distR="114300">
                  <wp:extent cx="1127760" cy="1564640"/>
                  <wp:effectExtent l="0" t="0" r="152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127760" cy="1564640"/>
                          </a:xfrm>
                          <a:prstGeom prst="rect">
                            <a:avLst/>
                          </a:prstGeom>
                          <a:noFill/>
                          <a:ln>
                            <a:noFill/>
                          </a:ln>
                        </pic:spPr>
                      </pic:pic>
                    </a:graphicData>
                  </a:graphic>
                </wp:inline>
              </w:drawing>
            </w:r>
            <w:r>
              <w:drawing>
                <wp:inline distT="0" distB="0" distL="114300" distR="114300">
                  <wp:extent cx="1047750" cy="1551305"/>
                  <wp:effectExtent l="0" t="0" r="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1047750" cy="1551305"/>
                          </a:xfrm>
                          <a:prstGeom prst="rect">
                            <a:avLst/>
                          </a:prstGeom>
                          <a:noFill/>
                          <a:ln>
                            <a:noFill/>
                          </a:ln>
                        </pic:spPr>
                      </pic:pic>
                    </a:graphicData>
                  </a:graphic>
                </wp:inline>
              </w:drawing>
            </w:r>
          </w:p>
          <w:p>
            <w:pPr>
              <w:pStyle w:val="2"/>
              <w:rPr>
                <w:rFonts w:hint="eastAsia"/>
                <w:highlight w:val="none"/>
                <w:lang w:eastAsia="zh-CN"/>
              </w:rPr>
            </w:pPr>
            <w:r>
              <w:rPr>
                <w:rFonts w:hint="eastAsia" w:ascii="Arial" w:hAnsi="Arial" w:cs="Arial"/>
                <w:color w:val="auto"/>
                <w:sz w:val="21"/>
                <w:szCs w:val="21"/>
                <w:highlight w:val="none"/>
                <w:lang w:val="en-US" w:eastAsia="zh-CN"/>
              </w:rPr>
              <w:t>电工、焊工、叉车工持证上岗，叉车特种设备有检验监督证书，</w:t>
            </w:r>
            <w:r>
              <w:rPr>
                <w:rFonts w:hint="eastAsia"/>
                <w:highlight w:val="none"/>
                <w:lang w:eastAsia="zh-CN"/>
              </w:rPr>
              <w:t>查特殊工种：（特种设备操作证，安全员、电工等证书）</w:t>
            </w:r>
          </w:p>
          <w:p>
            <w:pPr>
              <w:pStyle w:val="2"/>
              <w:rPr>
                <w:highlight w:val="none"/>
              </w:rPr>
            </w:pPr>
            <w:r>
              <w:rPr>
                <w:highlight w:val="none"/>
              </w:rPr>
              <w:drawing>
                <wp:inline distT="0" distB="0" distL="114300" distR="114300">
                  <wp:extent cx="2386965" cy="1452880"/>
                  <wp:effectExtent l="0" t="0" r="1333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2386965" cy="145288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216150" cy="1404620"/>
                  <wp:effectExtent l="0" t="0" r="12700"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216150" cy="1404620"/>
                          </a:xfrm>
                          <a:prstGeom prst="rect">
                            <a:avLst/>
                          </a:prstGeom>
                          <a:noFill/>
                          <a:ln>
                            <a:noFill/>
                          </a:ln>
                        </pic:spPr>
                      </pic:pic>
                    </a:graphicData>
                  </a:graphic>
                </wp:inline>
              </w:drawing>
            </w:r>
            <w:r>
              <w:rPr>
                <w:highlight w:val="none"/>
              </w:rPr>
              <w:drawing>
                <wp:inline distT="0" distB="0" distL="114300" distR="114300">
                  <wp:extent cx="2119630" cy="1406525"/>
                  <wp:effectExtent l="0" t="0" r="1397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2119630" cy="1406525"/>
                          </a:xfrm>
                          <a:prstGeom prst="rect">
                            <a:avLst/>
                          </a:prstGeom>
                          <a:noFill/>
                          <a:ln>
                            <a:noFill/>
                          </a:ln>
                        </pic:spPr>
                      </pic:pic>
                    </a:graphicData>
                  </a:graphic>
                </wp:inline>
              </w:drawing>
            </w:r>
          </w:p>
          <w:p>
            <w:pPr>
              <w:pStyle w:val="2"/>
              <w:rPr>
                <w:rFonts w:hint="eastAsia" w:eastAsia="宋体"/>
                <w:highlight w:val="none"/>
                <w:lang w:val="en-US" w:eastAsia="zh-CN"/>
              </w:rPr>
            </w:pPr>
            <w:r>
              <w:rPr>
                <w:highlight w:val="none"/>
              </w:rPr>
              <w:drawing>
                <wp:inline distT="0" distB="0" distL="114300" distR="114300">
                  <wp:extent cx="2038350" cy="1377950"/>
                  <wp:effectExtent l="0" t="0" r="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2038350" cy="137795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091690" cy="1373505"/>
                  <wp:effectExtent l="0" t="0" r="3810"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2091690" cy="137350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031365" cy="1335405"/>
                  <wp:effectExtent l="0" t="0" r="6985"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2031365" cy="1335405"/>
                          </a:xfrm>
                          <a:prstGeom prst="rect">
                            <a:avLst/>
                          </a:prstGeom>
                          <a:noFill/>
                          <a:ln>
                            <a:noFill/>
                          </a:ln>
                        </pic:spPr>
                      </pic:pic>
                    </a:graphicData>
                  </a:graphic>
                </wp:inline>
              </w:drawing>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近一年无工伤发生；</w:t>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未提供</w:t>
            </w:r>
          </w:p>
        </w:tc>
        <w:tc>
          <w:tcPr>
            <w:tcW w:w="480" w:type="dxa"/>
          </w:tcPr>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bl>
    <w:p>
      <w:pPr>
        <w:pStyle w:val="5"/>
        <w:rPr>
          <w:rFonts w:hint="eastAsia" w:asciiTheme="minorEastAsia" w:hAnsiTheme="minorEastAsia" w:eastAsiaTheme="minorEastAsia" w:cstheme="minorEastAsia"/>
        </w:rPr>
      </w:pPr>
    </w:p>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4</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269"/>
        <w:gridCol w:w="1110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56"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1269"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104" w:type="dxa"/>
            <w:vAlign w:val="center"/>
          </w:tcPr>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val="en-US" w:eastAsia="zh-CN"/>
              </w:rPr>
              <w:t xml:space="preserve">供销部       </w:t>
            </w: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吴静        </w:t>
            </w:r>
          </w:p>
        </w:tc>
        <w:tc>
          <w:tcPr>
            <w:tcW w:w="68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6" w:type="dxa"/>
            <w:vMerge w:val="continue"/>
            <w:vAlign w:val="center"/>
          </w:tcPr>
          <w:p>
            <w:pPr>
              <w:rPr>
                <w:rFonts w:hint="eastAsia" w:asciiTheme="minorEastAsia" w:hAnsiTheme="minorEastAsia" w:eastAsiaTheme="minorEastAsia" w:cstheme="minorEastAsia"/>
                <w:sz w:val="21"/>
                <w:szCs w:val="21"/>
              </w:rPr>
            </w:pPr>
          </w:p>
        </w:tc>
        <w:tc>
          <w:tcPr>
            <w:tcW w:w="1269" w:type="dxa"/>
            <w:vMerge w:val="continue"/>
            <w:vAlign w:val="center"/>
          </w:tcPr>
          <w:p>
            <w:pPr>
              <w:rPr>
                <w:rFonts w:hint="eastAsia" w:asciiTheme="minorEastAsia" w:hAnsiTheme="minorEastAsia" w:eastAsiaTheme="minorEastAsia" w:cstheme="minorEastAsia"/>
                <w:sz w:val="21"/>
                <w:szCs w:val="21"/>
              </w:rPr>
            </w:pPr>
          </w:p>
        </w:tc>
        <w:tc>
          <w:tcPr>
            <w:tcW w:w="11104" w:type="dxa"/>
            <w:vAlign w:val="center"/>
          </w:tcPr>
          <w:p>
            <w:pPr>
              <w:spacing w:before="120"/>
              <w:rPr>
                <w:rFonts w:hint="eastAsia" w:asciiTheme="minorEastAsia" w:hAnsiTheme="minorEastAsia" w:eastAsiaTheme="minorEastAsia" w:cstheme="minorEastAsia"/>
                <w:sz w:val="21"/>
                <w:szCs w:val="21"/>
                <w:lang w:val="en-US" w:eastAsia="zh-CN"/>
              </w:rPr>
            </w:pPr>
            <w:r>
              <w:rPr>
                <w:rFonts w:hint="eastAsia"/>
                <w:sz w:val="21"/>
                <w:szCs w:val="21"/>
              </w:rPr>
              <w:t>审核员：</w:t>
            </w:r>
            <w:r>
              <w:rPr>
                <w:rFonts w:hint="eastAsia"/>
                <w:sz w:val="21"/>
                <w:szCs w:val="21"/>
                <w:lang w:val="en-US" w:eastAsia="zh-CN"/>
              </w:rPr>
              <w:t xml:space="preserve">王志慧           </w:t>
            </w:r>
            <w:r>
              <w:rPr>
                <w:rFonts w:hint="eastAsia"/>
                <w:sz w:val="21"/>
                <w:szCs w:val="21"/>
              </w:rPr>
              <w:t>审核时间：</w:t>
            </w:r>
            <w:r>
              <w:rPr>
                <w:rFonts w:hint="eastAsia" w:ascii="宋体" w:hAnsi="宋体"/>
                <w:b/>
                <w:sz w:val="21"/>
                <w:szCs w:val="21"/>
              </w:rPr>
              <w:t>2021年01月1</w:t>
            </w:r>
            <w:r>
              <w:rPr>
                <w:rFonts w:hint="eastAsia" w:ascii="宋体" w:hAnsi="宋体"/>
                <w:b/>
                <w:sz w:val="21"/>
                <w:szCs w:val="21"/>
                <w:lang w:val="en-US" w:eastAsia="zh-CN"/>
              </w:rPr>
              <w:t>6</w:t>
            </w:r>
            <w:r>
              <w:rPr>
                <w:rFonts w:hint="eastAsia" w:ascii="宋体" w:hAnsi="宋体"/>
                <w:b/>
                <w:sz w:val="21"/>
                <w:szCs w:val="21"/>
              </w:rPr>
              <w:t>日</w:t>
            </w:r>
          </w:p>
        </w:tc>
        <w:tc>
          <w:tcPr>
            <w:tcW w:w="68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56" w:type="dxa"/>
            <w:vMerge w:val="continue"/>
            <w:vAlign w:val="center"/>
          </w:tcPr>
          <w:p>
            <w:pPr>
              <w:rPr>
                <w:rFonts w:hint="eastAsia" w:asciiTheme="minorEastAsia" w:hAnsiTheme="minorEastAsia" w:eastAsiaTheme="minorEastAsia" w:cstheme="minorEastAsia"/>
                <w:sz w:val="21"/>
                <w:szCs w:val="21"/>
              </w:rPr>
            </w:pPr>
          </w:p>
        </w:tc>
        <w:tc>
          <w:tcPr>
            <w:tcW w:w="1269" w:type="dxa"/>
            <w:vMerge w:val="continue"/>
            <w:vAlign w:val="center"/>
          </w:tcPr>
          <w:p>
            <w:pPr>
              <w:rPr>
                <w:rFonts w:hint="eastAsia" w:asciiTheme="minorEastAsia" w:hAnsiTheme="minorEastAsia" w:eastAsiaTheme="minorEastAsia" w:cstheme="minorEastAsia"/>
                <w:sz w:val="21"/>
                <w:szCs w:val="21"/>
              </w:rPr>
            </w:pPr>
          </w:p>
        </w:tc>
        <w:tc>
          <w:tcPr>
            <w:tcW w:w="1110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审核条款：</w:t>
            </w:r>
          </w:p>
        </w:tc>
        <w:tc>
          <w:tcPr>
            <w:tcW w:w="680"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656" w:type="dxa"/>
            <w:vAlign w:val="top"/>
          </w:tcPr>
          <w:p>
            <w:pPr>
              <w:spacing w:line="2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运行</w:t>
            </w:r>
            <w:r>
              <w:rPr>
                <w:rFonts w:hint="eastAsia" w:asciiTheme="minorEastAsia" w:hAnsiTheme="minorEastAsia" w:eastAsiaTheme="minorEastAsia" w:cstheme="minorEastAsia"/>
                <w:color w:val="000000"/>
                <w:kern w:val="0"/>
                <w:sz w:val="21"/>
                <w:szCs w:val="21"/>
                <w:lang w:val="en-US" w:eastAsia="zh-CN"/>
              </w:rPr>
              <w:t>得策划和</w:t>
            </w:r>
            <w:r>
              <w:rPr>
                <w:rFonts w:hint="eastAsia" w:asciiTheme="minorEastAsia" w:hAnsiTheme="minorEastAsia" w:eastAsiaTheme="minorEastAsia" w:cstheme="minorEastAsia"/>
                <w:color w:val="000000"/>
                <w:kern w:val="0"/>
                <w:sz w:val="21"/>
                <w:szCs w:val="21"/>
              </w:rPr>
              <w:t>控制</w:t>
            </w:r>
          </w:p>
        </w:tc>
        <w:tc>
          <w:tcPr>
            <w:tcW w:w="1269" w:type="dxa"/>
            <w:vAlign w:val="top"/>
          </w:tcPr>
          <w:p>
            <w:pPr>
              <w:spacing w:line="280" w:lineRule="exact"/>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O 8.1</w:t>
            </w:r>
          </w:p>
        </w:tc>
        <w:tc>
          <w:tcPr>
            <w:tcW w:w="11104" w:type="dxa"/>
            <w:vAlign w:val="center"/>
          </w:tcPr>
          <w:p>
            <w:pPr>
              <w:rPr>
                <w:rFonts w:hint="eastAsia" w:asciiTheme="minorEastAsia" w:hAnsiTheme="minorEastAsia" w:eastAsiaTheme="minorEastAsia" w:cstheme="minorEastAsia"/>
                <w:sz w:val="21"/>
                <w:szCs w:val="21"/>
              </w:rPr>
            </w:pPr>
            <w:r>
              <w:rPr>
                <w:rFonts w:hint="eastAsia" w:cs="宋体"/>
                <w:lang w:val="zh-CN"/>
              </w:rPr>
              <w:t>相关方施加影响：公司能够控制或能够施加影响的相关方有顾客等。提供了“致相关方的公开信”，将公司的环境/安全控制要求发放</w:t>
            </w:r>
            <w:r>
              <w:rPr>
                <w:rFonts w:hint="eastAsia" w:cs="宋体"/>
                <w:lang w:val="en-US" w:eastAsia="zh-CN"/>
              </w:rPr>
              <w:t>给</w:t>
            </w:r>
            <w:r>
              <w:rPr>
                <w:rFonts w:hint="eastAsia" w:cs="宋体"/>
                <w:lang w:val="zh-CN"/>
              </w:rPr>
              <w:t>相关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w:t>
            </w:r>
          </w:p>
        </w:tc>
        <w:tc>
          <w:tcPr>
            <w:tcW w:w="680"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符合</w:t>
            </w:r>
          </w:p>
        </w:tc>
      </w:tr>
    </w:tbl>
    <w:p>
      <w:pPr>
        <w:rPr>
          <w:rFonts w:hint="eastAsia" w:asciiTheme="minorEastAsia" w:hAnsiTheme="minorEastAsia" w:eastAsiaTheme="minorEastAsia" w:cstheme="minorEastAsia"/>
        </w:rPr>
      </w:pPr>
      <w:r>
        <w:ptab w:relativeTo="margin" w:alignment="center" w:leader="none"/>
      </w:r>
    </w:p>
    <w:p>
      <w:pPr>
        <w:spacing w:line="480" w:lineRule="exact"/>
        <w:jc w:val="center"/>
        <w:rPr>
          <w:rFonts w:hint="eastAsia" w:asciiTheme="minorEastAsia" w:hAnsiTheme="minorEastAsia" w:eastAsiaTheme="minorEastAsia" w:cstheme="minorEastAsia"/>
          <w:bCs/>
          <w:color w:val="000000"/>
          <w:sz w:val="36"/>
          <w:szCs w:val="36"/>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5</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7"/>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960"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757" w:type="dxa"/>
            <w:vAlign w:val="center"/>
          </w:tcPr>
          <w:p>
            <w:pPr>
              <w:spacing w:line="30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受审核部门： </w:t>
            </w:r>
            <w:r>
              <w:rPr>
                <w:rFonts w:hint="eastAsia" w:ascii="宋体" w:hAnsi="宋体"/>
                <w:sz w:val="21"/>
                <w:szCs w:val="21"/>
              </w:rPr>
              <w:t>（综合）办公室</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办公室</w:t>
            </w:r>
            <w:r>
              <w:rPr>
                <w:rFonts w:hint="eastAsia" w:asciiTheme="minorEastAsia" w:hAnsiTheme="minorEastAsia" w:eastAsiaTheme="minorEastAsia" w:cstheme="minorEastAsia"/>
                <w:color w:val="auto"/>
                <w:sz w:val="21"/>
                <w:szCs w:val="21"/>
              </w:rPr>
              <w:t>领导：</w:t>
            </w:r>
            <w:r>
              <w:rPr>
                <w:rFonts w:hint="eastAsia" w:asciiTheme="minorEastAsia" w:hAnsiTheme="minorEastAsia" w:eastAsiaTheme="minorEastAsia" w:cstheme="minorEastAsia"/>
                <w:color w:val="auto"/>
                <w:sz w:val="21"/>
                <w:szCs w:val="21"/>
                <w:lang w:eastAsia="zh-CN"/>
              </w:rPr>
              <w:t xml:space="preserve">魏亿枫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p>
        </w:tc>
        <w:tc>
          <w:tcPr>
            <w:tcW w:w="832"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757" w:type="dxa"/>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val="en-US" w:eastAsia="zh-CN"/>
              </w:rPr>
              <w:t xml:space="preserve">王志慧          </w:t>
            </w:r>
            <w:r>
              <w:rPr>
                <w:rFonts w:hint="eastAsia" w:asciiTheme="minorEastAsia" w:hAnsiTheme="minorEastAsia" w:eastAsiaTheme="minorEastAsia" w:cstheme="minorEastAsia"/>
                <w:color w:val="auto"/>
                <w:sz w:val="21"/>
                <w:szCs w:val="21"/>
              </w:rPr>
              <w:t>审核时间：</w:t>
            </w:r>
            <w:r>
              <w:rPr>
                <w:rFonts w:hint="eastAsia" w:ascii="宋体" w:hAnsi="宋体"/>
                <w:b/>
                <w:sz w:val="21"/>
                <w:szCs w:val="21"/>
              </w:rPr>
              <w:t>2021年01月1</w:t>
            </w:r>
            <w:r>
              <w:rPr>
                <w:rFonts w:hint="eastAsia" w:ascii="宋体" w:hAnsi="宋体"/>
                <w:b/>
                <w:sz w:val="21"/>
                <w:szCs w:val="21"/>
                <w:lang w:val="en-US" w:eastAsia="zh-CN"/>
              </w:rPr>
              <w:t>6</w:t>
            </w:r>
            <w:r>
              <w:rPr>
                <w:rFonts w:hint="eastAsia" w:ascii="宋体" w:hAnsi="宋体"/>
                <w:b/>
                <w:sz w:val="21"/>
                <w:szCs w:val="21"/>
              </w:rPr>
              <w:t>日</w:t>
            </w:r>
          </w:p>
        </w:tc>
        <w:tc>
          <w:tcPr>
            <w:tcW w:w="832"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757" w:type="dxa"/>
            <w:vAlign w:val="center"/>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审核条款：5.3/5.4/6.1</w:t>
            </w:r>
            <w:r>
              <w:rPr>
                <w:rFonts w:hint="eastAsia" w:asciiTheme="minorEastAsia" w:hAnsiTheme="minorEastAsia" w:eastAsiaTheme="minorEastAsia" w:cstheme="minorEastAsia"/>
                <w:color w:val="auto"/>
                <w:sz w:val="21"/>
                <w:szCs w:val="21"/>
                <w:lang w:val="en-US" w:eastAsia="zh-CN"/>
              </w:rPr>
              <w:t>.1/6.1.3</w:t>
            </w:r>
            <w:r>
              <w:rPr>
                <w:rFonts w:hint="eastAsia" w:asciiTheme="minorEastAsia" w:hAnsiTheme="minorEastAsia" w:eastAsiaTheme="minorEastAsia" w:cstheme="minorEastAsia"/>
                <w:color w:val="auto"/>
                <w:sz w:val="21"/>
                <w:szCs w:val="21"/>
              </w:rPr>
              <w:t>/6.2/(7.2/7.3/7.4) /7.5/8.1.2/8.1.3/8.2/9.1</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/9.2/10.2</w:t>
            </w:r>
          </w:p>
        </w:tc>
        <w:tc>
          <w:tcPr>
            <w:tcW w:w="832"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400" w:lineRule="exact"/>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法律法规和其他要求和合规性评价（OHSMS）</w:t>
            </w:r>
          </w:p>
        </w:tc>
        <w:tc>
          <w:tcPr>
            <w:tcW w:w="960" w:type="dxa"/>
            <w:vAlign w:val="top"/>
          </w:tcPr>
          <w:p>
            <w:pPr>
              <w:rPr>
                <w:rFonts w:hint="eastAsia"/>
                <w:lang w:val="en-US" w:eastAsia="zh-CN"/>
              </w:rPr>
            </w:pPr>
            <w:r>
              <w:rPr>
                <w:rFonts w:hint="eastAsia"/>
              </w:rPr>
              <w:t>O：</w:t>
            </w:r>
            <w:r>
              <w:rPr>
                <w:rFonts w:hint="eastAsia"/>
                <w:lang w:val="en-US" w:eastAsia="zh-CN"/>
              </w:rPr>
              <w:t>6.1.3</w:t>
            </w:r>
          </w:p>
          <w:p>
            <w:pPr>
              <w:rPr>
                <w:rFonts w:hint="default"/>
                <w:lang w:val="en-US" w:eastAsia="zh-CN"/>
              </w:rPr>
            </w:pPr>
            <w:r>
              <w:rPr>
                <w:rFonts w:hint="eastAsia"/>
              </w:rPr>
              <w:t>O：</w:t>
            </w:r>
            <w:r>
              <w:rPr>
                <w:rFonts w:hint="eastAsia"/>
                <w:lang w:val="en-US" w:eastAsia="zh-CN"/>
              </w:rPr>
              <w:t>9.1.2</w:t>
            </w:r>
          </w:p>
          <w:p>
            <w:pPr>
              <w:pStyle w:val="2"/>
              <w:rPr>
                <w:rFonts w:hint="eastAsia"/>
                <w:lang w:val="en-US" w:eastAsia="zh-CN"/>
              </w:rPr>
            </w:pPr>
          </w:p>
        </w:tc>
        <w:tc>
          <w:tcPr>
            <w:tcW w:w="10757"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有《合规义务控制程序》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《法律法规和其他要求一览表》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《合规性评价表》</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包括：</w:t>
            </w:r>
            <w:r>
              <w:rPr>
                <w:rFonts w:hint="eastAsia" w:asciiTheme="minorEastAsia" w:hAnsiTheme="minorEastAsia" w:eastAsiaTheme="minorEastAsia" w:cstheme="minorEastAsia"/>
                <w:color w:val="auto"/>
                <w:sz w:val="21"/>
                <w:szCs w:val="21"/>
                <w:lang w:eastAsia="zh-CN"/>
              </w:rPr>
              <w:t>《GB/T 3324木家 具通用技术条件》、安徽省</w:t>
            </w:r>
            <w:r>
              <w:rPr>
                <w:rFonts w:hint="eastAsia" w:asciiTheme="minorEastAsia" w:hAnsiTheme="minorEastAsia" w:eastAsiaTheme="minorEastAsia" w:cstheme="minorEastAsia"/>
                <w:color w:val="auto"/>
                <w:sz w:val="21"/>
                <w:szCs w:val="21"/>
              </w:rPr>
              <w:t>工伤保险条例、职业病防治法、</w:t>
            </w:r>
            <w:r>
              <w:rPr>
                <w:rFonts w:hint="eastAsia" w:asciiTheme="minorEastAsia" w:hAnsiTheme="minorEastAsia" w:eastAsiaTheme="minorEastAsia" w:cstheme="minorEastAsia"/>
                <w:color w:val="auto"/>
                <w:sz w:val="21"/>
                <w:szCs w:val="21"/>
                <w:lang w:eastAsia="zh-CN"/>
              </w:rPr>
              <w:t>安徽省</w:t>
            </w:r>
            <w:r>
              <w:rPr>
                <w:rFonts w:hint="eastAsia" w:asciiTheme="minorEastAsia" w:hAnsiTheme="minorEastAsia" w:eastAsiaTheme="minorEastAsia" w:cstheme="minorEastAsia"/>
                <w:color w:val="auto"/>
                <w:sz w:val="21"/>
                <w:szCs w:val="21"/>
              </w:rPr>
              <w:t>消防条例、危险化学品管理条例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安徽省劳动保护条例、安徽省道路交通安全条例、安徽省安全生产条例、安徽省女职工劳动保护特别规定等</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有《合规性评价表》</w:t>
            </w:r>
            <w:r>
              <w:rPr>
                <w:rFonts w:hint="eastAsia" w:ascii="Xingkai SC Light" w:hAnsi="Xingkai SC Light" w:eastAsia="Xingkai SC Light" w:cs="宋体"/>
              </w:rPr>
              <w:t xml:space="preserve"> 20</w:t>
            </w:r>
            <w:r>
              <w:rPr>
                <w:rFonts w:ascii="Xingkai SC Light" w:hAnsi="Xingkai SC Light" w:eastAsia="Xingkai SC Light" w:cs="宋体"/>
              </w:rPr>
              <w:t>20.10.15</w:t>
            </w:r>
            <w:r>
              <w:rPr>
                <w:rFonts w:hint="eastAsia" w:ascii="Xingkai SC Light" w:hAnsi="Xingkai SC Light" w:eastAsia="Xingkai SC Light" w:cs="宋体"/>
                <w:lang w:eastAsia="zh-CN"/>
              </w:rPr>
              <w:t>，编制人：魏亿枫等， 批准人：张宇栋</w:t>
            </w:r>
            <w:r>
              <w:rPr>
                <w:rFonts w:hint="eastAsia" w:ascii="Xingkai SC Light" w:hAnsi="Xingkai SC Light" w:eastAsia="Xingkai SC Light" w:cs="宋体"/>
                <w:lang w:val="en-US" w:eastAsia="zh-CN"/>
              </w:rPr>
              <w:t xml:space="preserve">   </w:t>
            </w:r>
            <w:r>
              <w:rPr>
                <w:rFonts w:hint="eastAsia" w:asciiTheme="minorEastAsia" w:hAnsiTheme="minorEastAsia" w:eastAsiaTheme="minorEastAsia" w:cstheme="minorEastAsia"/>
                <w:color w:val="auto"/>
                <w:sz w:val="21"/>
                <w:szCs w:val="21"/>
                <w:lang w:eastAsia="zh-CN"/>
              </w:rPr>
              <w:t>结论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基本符合</w:t>
            </w:r>
          </w:p>
        </w:tc>
        <w:tc>
          <w:tcPr>
            <w:tcW w:w="832" w:type="dxa"/>
            <w:vAlign w:val="top"/>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符合</w:t>
            </w:r>
          </w:p>
          <w:p>
            <w:pPr>
              <w:rPr>
                <w:rFonts w:hint="eastAsia" w:asciiTheme="minorEastAsia" w:hAnsiTheme="minorEastAsia" w:eastAsiaTheme="minorEastAsia" w:cstheme="minorEastAsia"/>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cs="宋体"/>
                <w:szCs w:val="21"/>
              </w:rPr>
            </w:pPr>
            <w:r>
              <w:rPr>
                <w:rFonts w:hint="eastAsia" w:ascii="宋体" w:hAnsi="宋体" w:cs="新宋体"/>
                <w:szCs w:val="21"/>
              </w:rPr>
              <w:t>文件</w:t>
            </w:r>
            <w:r>
              <w:rPr>
                <w:rFonts w:hint="eastAsia" w:ascii="宋体" w:hAnsi="宋体" w:cs="新宋体"/>
                <w:szCs w:val="21"/>
                <w:lang w:val="en-US" w:eastAsia="zh-CN"/>
              </w:rPr>
              <w:t>化信息</w:t>
            </w:r>
          </w:p>
        </w:tc>
        <w:tc>
          <w:tcPr>
            <w:tcW w:w="960" w:type="dxa"/>
            <w:vAlign w:val="top"/>
          </w:tcPr>
          <w:p>
            <w:pPr>
              <w:keepNext w:val="0"/>
              <w:keepLines w:val="0"/>
              <w:suppressLineNumbers w:val="0"/>
              <w:tabs>
                <w:tab w:val="center" w:pos="3169"/>
              </w:tabs>
              <w:spacing w:before="0" w:beforeAutospacing="0" w:after="0" w:afterAutospacing="0" w:line="400" w:lineRule="exact"/>
              <w:ind w:left="0" w:right="0"/>
              <w:jc w:val="left"/>
              <w:rPr>
                <w:rFonts w:hint="eastAsia" w:ascii="宋体" w:hAnsi="宋体" w:eastAsia="宋体" w:cs="宋体"/>
                <w:szCs w:val="21"/>
                <w:lang w:val="en-US" w:eastAsia="zh-CN"/>
              </w:rPr>
            </w:pPr>
            <w:r>
              <w:rPr>
                <w:rFonts w:hint="eastAsia" w:asciiTheme="minorEastAsia" w:hAnsiTheme="minorEastAsia" w:eastAsiaTheme="minorEastAsia" w:cstheme="minorEastAsia"/>
                <w:color w:val="auto"/>
                <w:sz w:val="21"/>
                <w:szCs w:val="21"/>
                <w:lang w:val="en-US" w:eastAsia="zh-CN"/>
              </w:rPr>
              <w:t xml:space="preserve">O </w:t>
            </w:r>
            <w:r>
              <w:rPr>
                <w:rFonts w:hint="eastAsia" w:ascii="宋体" w:hAnsi="宋体" w:cs="宋体"/>
                <w:szCs w:val="21"/>
              </w:rPr>
              <w:t>7.</w:t>
            </w:r>
            <w:r>
              <w:rPr>
                <w:rFonts w:hint="eastAsia" w:ascii="宋体" w:hAnsi="宋体" w:cs="宋体"/>
                <w:szCs w:val="21"/>
                <w:lang w:val="en-US" w:eastAsia="zh-CN"/>
              </w:rPr>
              <w:t>5</w:t>
            </w:r>
          </w:p>
          <w:p>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kern w:val="2"/>
                <w:sz w:val="21"/>
                <w:szCs w:val="21"/>
                <w:lang w:val="en-US" w:eastAsia="zh-CN" w:bidi="ar-SA"/>
              </w:rPr>
            </w:pPr>
          </w:p>
        </w:tc>
        <w:tc>
          <w:tcPr>
            <w:tcW w:w="10757" w:type="dxa"/>
            <w:vAlign w:val="top"/>
          </w:tcPr>
          <w:p>
            <w:pPr>
              <w:keepNext w:val="0"/>
              <w:keepLines w:val="0"/>
              <w:suppressLineNumbers w:val="0"/>
              <w:spacing w:before="0" w:beforeAutospacing="0" w:after="0" w:afterAutospacing="0" w:line="360" w:lineRule="auto"/>
              <w:ind w:right="0" w:rightChars="0"/>
              <w:rPr>
                <w:rFonts w:hint="eastAsia"/>
              </w:rPr>
            </w:pPr>
            <w:r>
              <w:rPr>
                <w:rFonts w:hint="eastAsia"/>
              </w:rPr>
              <w:t>文件架构：手册一本、程序文件、三层次文件（作业指导书、规章制度等）、记录表格</w:t>
            </w:r>
          </w:p>
          <w:p>
            <w:pPr>
              <w:pStyle w:val="2"/>
              <w:rPr>
                <w:rFonts w:hint="eastAsia" w:eastAsia="宋体"/>
                <w:lang w:eastAsia="zh-CN"/>
              </w:rPr>
            </w:pPr>
            <w:r>
              <w:rPr>
                <w:rFonts w:hint="eastAsia"/>
                <w:lang w:eastAsia="zh-CN"/>
              </w:rPr>
              <w:t>见</w:t>
            </w:r>
            <w:r>
              <w:rPr>
                <w:rFonts w:hint="eastAsia"/>
              </w:rPr>
              <w:t>文件控制管理程序GDKL-CX-10</w:t>
            </w:r>
            <w:r>
              <w:rPr>
                <w:rFonts w:hint="eastAsia"/>
                <w:lang w:eastAsia="zh-CN"/>
              </w:rPr>
              <w:t>、</w:t>
            </w:r>
            <w:r>
              <w:rPr>
                <w:rFonts w:hint="eastAsia"/>
              </w:rPr>
              <w:t>变更管理控制程序GDKL-CX-11</w:t>
            </w:r>
            <w:r>
              <w:rPr>
                <w:rFonts w:hint="eastAsia"/>
                <w:lang w:eastAsia="zh-CN"/>
              </w:rPr>
              <w:t>等，</w:t>
            </w:r>
          </w:p>
          <w:p>
            <w:pPr>
              <w:pStyle w:val="2"/>
              <w:rPr>
                <w:rFonts w:hint="default" w:eastAsia="宋体"/>
                <w:lang w:val="en-US" w:eastAsia="zh-CN"/>
              </w:rPr>
            </w:pPr>
            <w:r>
              <w:rPr>
                <w:rFonts w:hint="eastAsia"/>
              </w:rPr>
              <w:t>目前</w:t>
            </w:r>
            <w:r>
              <w:rPr>
                <w:rFonts w:hint="eastAsia"/>
                <w:lang w:val="en-US" w:eastAsia="zh-CN"/>
              </w:rPr>
              <w:t>有</w:t>
            </w:r>
            <w:r>
              <w:rPr>
                <w:rFonts w:hint="eastAsia"/>
              </w:rPr>
              <w:t>纸质文件和少部分是电子版；</w:t>
            </w:r>
          </w:p>
        </w:tc>
        <w:tc>
          <w:tcPr>
            <w:tcW w:w="832"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cs="宋体" w:eastAsiaTheme="minorEastAsia"/>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vAlign w:val="top"/>
          </w:tcPr>
          <w:p>
            <w:pPr>
              <w:spacing w:line="280" w:lineRule="exact"/>
              <w:rPr>
                <w:rFonts w:hint="eastAsia" w:asciiTheme="minorEastAsia" w:hAnsiTheme="minorEastAsia" w:eastAsiaTheme="minorEastAsia" w:cstheme="minorEastAsia"/>
                <w:color w:val="auto"/>
                <w:spacing w:val="0"/>
                <w:w w:val="100"/>
                <w:kern w:val="2"/>
                <w:position w:val="0"/>
                <w:sz w:val="21"/>
                <w:szCs w:val="21"/>
                <w:u w:val="none"/>
                <w:vertAlign w:val="baseline"/>
                <w:lang w:val="en-US" w:eastAsia="zh-CN" w:bidi="ar-SA"/>
              </w:rPr>
            </w:pPr>
            <w:r>
              <w:rPr>
                <w:rFonts w:hint="eastAsia" w:asciiTheme="minorEastAsia" w:hAnsiTheme="minorEastAsia" w:eastAsiaTheme="minorEastAsia" w:cstheme="minorEastAsia"/>
                <w:sz w:val="21"/>
                <w:szCs w:val="21"/>
                <w:lang w:val="en-US" w:eastAsia="zh-CN"/>
              </w:rPr>
              <w:t>应急准备和响应</w:t>
            </w:r>
          </w:p>
        </w:tc>
        <w:tc>
          <w:tcPr>
            <w:tcW w:w="960" w:type="dxa"/>
            <w:vAlign w:val="top"/>
          </w:tcPr>
          <w:p>
            <w:pPr>
              <w:spacing w:line="280" w:lineRule="exact"/>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sz w:val="21"/>
                <w:szCs w:val="21"/>
                <w:lang w:val="en-US" w:eastAsia="zh-CN"/>
              </w:rPr>
              <w:t>O8.2</w:t>
            </w:r>
          </w:p>
        </w:tc>
        <w:tc>
          <w:tcPr>
            <w:tcW w:w="10757"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有《应急准备和相应管理程序</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GDKL-CX-13》；触电应急预案、防疫应急演练、回防疫应急预案、包灾爆炸应急救援预案、机械伤害事故应急、机械伤害应急预案、新冠疫情防控</w:t>
            </w:r>
            <w:r>
              <w:rPr>
                <w:rFonts w:hint="eastAsia" w:asciiTheme="minorEastAsia" w:hAnsiTheme="minorEastAsia" w:eastAsiaTheme="minorEastAsia" w:cstheme="minorEastAsia"/>
                <w:sz w:val="21"/>
                <w:szCs w:val="21"/>
                <w:lang w:val="en-US" w:eastAsia="zh-CN"/>
              </w:rPr>
              <w:t>,</w:t>
            </w:r>
          </w:p>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近一年没有发生火灾或未遂事件</w:t>
            </w:r>
          </w:p>
        </w:tc>
        <w:tc>
          <w:tcPr>
            <w:tcW w:w="832" w:type="dxa"/>
          </w:tcPr>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内部审核</w:t>
            </w:r>
          </w:p>
        </w:tc>
        <w:tc>
          <w:tcPr>
            <w:tcW w:w="960"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9.2</w:t>
            </w:r>
          </w:p>
        </w:tc>
        <w:tc>
          <w:tcPr>
            <w:tcW w:w="10757" w:type="dxa"/>
          </w:tcPr>
          <w:p>
            <w:pPr>
              <w:rPr>
                <w:rFonts w:hint="eastAsia"/>
                <w:lang w:val="en-US" w:eastAsia="zh-CN"/>
              </w:rPr>
            </w:pPr>
            <w:r>
              <w:rPr>
                <w:rFonts w:hint="eastAsia"/>
              </w:rPr>
              <w:t>有</w:t>
            </w:r>
            <w:r>
              <w:rPr>
                <w:rFonts w:hint="eastAsia"/>
                <w:lang w:eastAsia="zh-CN"/>
              </w:rPr>
              <w:t>内部审核管理程序GDKL-CX-16，</w:t>
            </w:r>
          </w:p>
          <w:p>
            <w:pPr>
              <w:rPr>
                <w:rFonts w:hint="eastAsia"/>
              </w:rPr>
            </w:pPr>
            <w:r>
              <w:rPr>
                <w:rFonts w:hint="eastAsia"/>
              </w:rPr>
              <w:t>有《内审计划》2020.11.10</w:t>
            </w:r>
            <w:r>
              <w:rPr>
                <w:rFonts w:hint="eastAsia"/>
                <w:lang w:eastAsia="zh-CN"/>
              </w:rPr>
              <w:t>，内部审核实施2020年11月20日，</w:t>
            </w:r>
            <w:r>
              <w:rPr>
                <w:rFonts w:hint="eastAsia"/>
              </w:rPr>
              <w:t>审核组成员：组长：魏亿枫（A）</w:t>
            </w:r>
            <w:r>
              <w:rPr>
                <w:rFonts w:hint="eastAsia"/>
                <w:lang w:eastAsia="zh-CN"/>
              </w:rPr>
              <w:t>，</w:t>
            </w:r>
            <w:r>
              <w:rPr>
                <w:rFonts w:hint="eastAsia"/>
              </w:rPr>
              <w:t>组员：吴亮（B）</w:t>
            </w:r>
            <w:r>
              <w:rPr>
                <w:rFonts w:hint="eastAsia"/>
                <w:lang w:eastAsia="zh-CN"/>
              </w:rPr>
              <w:t>，</w:t>
            </w:r>
            <w:r>
              <w:rPr>
                <w:rFonts w:hint="eastAsia"/>
              </w:rPr>
              <w:t>参加过内审员培训，有《培训记录》；</w:t>
            </w:r>
          </w:p>
          <w:p>
            <w:pPr>
              <w:rPr>
                <w:rFonts w:hint="eastAsia"/>
              </w:rPr>
            </w:pPr>
            <w:r>
              <w:rPr>
                <w:rFonts w:hint="eastAsia"/>
              </w:rPr>
              <w:t>有各部门《内审检查表》；包括：管理层、供销部、（综合）办公室(含财务)、生产部</w:t>
            </w:r>
            <w:r>
              <w:rPr>
                <w:rFonts w:hint="eastAsia"/>
                <w:lang w:val="en-US" w:eastAsia="zh-CN"/>
              </w:rPr>
              <w:t>各部门</w:t>
            </w:r>
            <w:r>
              <w:rPr>
                <w:rFonts w:hint="eastAsia"/>
              </w:rPr>
              <w:t>；</w:t>
            </w:r>
          </w:p>
          <w:p>
            <w:pPr>
              <w:rPr>
                <w:rFonts w:hint="default"/>
                <w:lang w:val="en-US" w:eastAsia="zh-CN"/>
              </w:rPr>
            </w:pPr>
            <w:r>
              <w:rPr>
                <w:rFonts w:hint="eastAsia"/>
              </w:rPr>
              <w:t>有1个不</w:t>
            </w:r>
            <w:r>
              <w:rPr>
                <w:rFonts w:hint="eastAsia"/>
                <w:lang w:val="en-US" w:eastAsia="zh-CN"/>
              </w:rPr>
              <w:t>符合</w:t>
            </w:r>
            <w:r>
              <w:rPr>
                <w:rFonts w:hint="eastAsia"/>
              </w:rPr>
              <w:t>项，</w:t>
            </w:r>
            <w:r>
              <w:rPr>
                <w:rFonts w:hint="eastAsia"/>
                <w:lang w:val="en-US" w:eastAsia="zh-CN"/>
              </w:rPr>
              <w:t>部门为：</w:t>
            </w:r>
            <w:r>
              <w:rPr>
                <w:rFonts w:hint="eastAsia"/>
              </w:rPr>
              <w:t>（综合）办公室</w:t>
            </w:r>
            <w:r>
              <w:rPr>
                <w:rFonts w:hint="eastAsia"/>
                <w:lang w:val="en-US" w:eastAsia="zh-CN"/>
              </w:rPr>
              <w:t>，不符合8.1条款，不符合事实：现场检查办公区域配置的一只灭火器指针已至红线，失效。已纠正。</w:t>
            </w:r>
          </w:p>
          <w:p>
            <w:pPr>
              <w:rPr>
                <w:rFonts w:hint="eastAsia"/>
              </w:rPr>
            </w:pPr>
            <w:r>
              <w:rPr>
                <w:rFonts w:hint="eastAsia"/>
              </w:rPr>
              <w:t>有《内审报告》，结论：体系基本</w:t>
            </w:r>
            <w:r>
              <w:rPr>
                <w:rFonts w:hint="eastAsia"/>
                <w:lang w:val="en-US" w:eastAsia="zh-CN"/>
              </w:rPr>
              <w:t>符合</w:t>
            </w:r>
            <w:r>
              <w:rPr>
                <w:rFonts w:hint="eastAsia"/>
              </w:rPr>
              <w:t>标准要求，运行基本正常；</w:t>
            </w:r>
          </w:p>
          <w:p>
            <w:pPr>
              <w:rPr>
                <w:rFonts w:hint="eastAsia" w:eastAsiaTheme="minorEastAsia"/>
                <w:lang w:eastAsia="zh-CN"/>
              </w:rPr>
            </w:pPr>
            <w:bookmarkStart w:id="3" w:name="_GoBack"/>
            <w:r>
              <w:rPr>
                <w:rFonts w:hint="eastAsia" w:asciiTheme="minorEastAsia" w:hAnsiTheme="minorEastAsia" w:eastAsiaTheme="minorEastAsia" w:cstheme="minorEastAsia"/>
                <w:color w:val="0000FF"/>
                <w:kern w:val="0"/>
                <w:sz w:val="21"/>
                <w:szCs w:val="21"/>
              </w:rPr>
              <w:t>首末次会议《签到表》</w:t>
            </w:r>
            <w:r>
              <w:rPr>
                <w:rFonts w:hint="eastAsia" w:asciiTheme="minorEastAsia" w:hAnsiTheme="minorEastAsia" w:eastAsiaTheme="minorEastAsia" w:cstheme="minorEastAsia"/>
                <w:color w:val="0000FF"/>
                <w:kern w:val="0"/>
                <w:sz w:val="21"/>
                <w:szCs w:val="21"/>
                <w:lang w:eastAsia="zh-CN"/>
              </w:rPr>
              <w:t>，</w:t>
            </w:r>
            <w:r>
              <w:rPr>
                <w:rFonts w:hint="eastAsia" w:asciiTheme="minorEastAsia" w:hAnsiTheme="minorEastAsia" w:eastAsiaTheme="minorEastAsia" w:cstheme="minorEastAsia"/>
                <w:color w:val="0000FF"/>
                <w:kern w:val="0"/>
                <w:sz w:val="21"/>
                <w:szCs w:val="21"/>
                <w:lang w:eastAsia="zh-CN"/>
              </w:rPr>
              <w:t>未见手写签到</w:t>
            </w:r>
            <w:bookmarkEnd w:id="3"/>
          </w:p>
        </w:tc>
        <w:tc>
          <w:tcPr>
            <w:tcW w:w="832" w:type="dxa"/>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0000FF"/>
                <w:sz w:val="21"/>
                <w:szCs w:val="21"/>
                <w:lang w:eastAsia="zh-CN"/>
              </w:rPr>
              <w:t>不符合</w:t>
            </w:r>
          </w:p>
        </w:tc>
      </w:tr>
    </w:tbl>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Xingkai SC Light">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v:textbox>
        </v:shape>
      </w:pict>
    </w:r>
    <w:r>
      <w:rPr>
        <w:rStyle w:val="13"/>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B31E77"/>
    <w:rsid w:val="00F64BC6"/>
    <w:rsid w:val="045D7B2E"/>
    <w:rsid w:val="099C09F8"/>
    <w:rsid w:val="0B095A7E"/>
    <w:rsid w:val="13366B6C"/>
    <w:rsid w:val="15131ECC"/>
    <w:rsid w:val="16DB2459"/>
    <w:rsid w:val="197C74AE"/>
    <w:rsid w:val="19C0228D"/>
    <w:rsid w:val="1A4B2A9A"/>
    <w:rsid w:val="222B3ECE"/>
    <w:rsid w:val="23403EA5"/>
    <w:rsid w:val="37685487"/>
    <w:rsid w:val="3AAC2A50"/>
    <w:rsid w:val="3B3710D8"/>
    <w:rsid w:val="3CD92F8F"/>
    <w:rsid w:val="3F334252"/>
    <w:rsid w:val="3F6762AA"/>
    <w:rsid w:val="3FA97648"/>
    <w:rsid w:val="40677D08"/>
    <w:rsid w:val="44C27846"/>
    <w:rsid w:val="46004F04"/>
    <w:rsid w:val="4D071F34"/>
    <w:rsid w:val="4FB22379"/>
    <w:rsid w:val="545312C2"/>
    <w:rsid w:val="57432DF6"/>
    <w:rsid w:val="579A1438"/>
    <w:rsid w:val="58C7138D"/>
    <w:rsid w:val="630F7B25"/>
    <w:rsid w:val="661B1B22"/>
    <w:rsid w:val="6B745B62"/>
    <w:rsid w:val="705D5A30"/>
    <w:rsid w:val="7B9779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qFormat/>
    <w:uiPriority w:val="99"/>
    <w:rPr>
      <w:rFonts w:ascii="Times New Roman" w:hAnsi="Times New Roman" w:eastAsia="宋体"/>
      <w:color w:val="auto"/>
      <w:spacing w:val="0"/>
      <w:w w:val="100"/>
      <w:position w:val="0"/>
      <w:sz w:val="21"/>
      <w:u w:val="none"/>
      <w:vertAlign w:val="baseline"/>
    </w:rPr>
  </w:style>
  <w:style w:type="character" w:customStyle="1" w:styleId="10">
    <w:name w:val="页眉 Char"/>
    <w:basedOn w:val="8"/>
    <w:link w:val="6"/>
    <w:qFormat/>
    <w:uiPriority w:val="99"/>
    <w:rPr>
      <w:rFonts w:ascii="Times New Roman" w:hAnsi="Times New Roman" w:eastAsia="宋体" w:cs="Times New Roman"/>
      <w:sz w:val="18"/>
      <w:szCs w:val="18"/>
    </w:rPr>
  </w:style>
  <w:style w:type="character" w:customStyle="1" w:styleId="11">
    <w:name w:val="页脚 Char"/>
    <w:basedOn w:val="8"/>
    <w:link w:val="5"/>
    <w:qFormat/>
    <w:uiPriority w:val="99"/>
    <w:rPr>
      <w:rFonts w:ascii="Times New Roman" w:hAnsi="Times New Roman" w:eastAsia="宋体" w:cs="Times New Roman"/>
      <w:sz w:val="18"/>
      <w:szCs w:val="18"/>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标准正文"/>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2021-01-24T13:45:21Z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