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0021-2021-QEO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张家口和丰建材销售有限公司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Q:29.11.03</w:t>
            </w:r>
          </w:p>
          <w:p>
            <w:pPr>
              <w:spacing w:line="240" w:lineRule="exact"/>
              <w:jc w:val="center"/>
              <w:rPr>
                <w:b/>
                <w:color w:val="000000"/>
                <w:sz w:val="20"/>
                <w:szCs w:val="20"/>
              </w:rPr>
            </w:pPr>
            <w:r>
              <w:rPr>
                <w:b/>
                <w:color w:val="000000"/>
                <w:sz w:val="20"/>
                <w:szCs w:val="20"/>
              </w:rPr>
              <w:t>E:29.11.03</w:t>
            </w:r>
          </w:p>
          <w:p>
            <w:pPr>
              <w:spacing w:line="240" w:lineRule="exact"/>
              <w:jc w:val="center"/>
              <w:rPr>
                <w:b/>
                <w:color w:val="000000"/>
                <w:sz w:val="20"/>
                <w:szCs w:val="20"/>
              </w:rPr>
            </w:pPr>
            <w:r>
              <w:rPr>
                <w:b/>
                <w:color w:val="000000"/>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夏楠楠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张家口和丰建材销售有限公司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张家口市万全区宣平堡乡水泉堡村东</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076250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张家口市万全区宣平堡乡水泉堡村东</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076250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薛治江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13831376792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黄俊平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薛治江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1056116929@qq.com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Q：建材批发</w:t>
            </w:r>
          </w:p>
          <w:p>
            <w:pPr>
              <w:spacing w:line="400" w:lineRule="exact"/>
              <w:rPr>
                <w:rFonts w:ascii="宋体" w:hAnsi="宋体"/>
                <w:b/>
                <w:color w:val="000000"/>
                <w:sz w:val="20"/>
                <w:szCs w:val="20"/>
              </w:rPr>
            </w:pPr>
            <w:r>
              <w:rPr>
                <w:rFonts w:ascii="宋体" w:hAnsi="宋体"/>
                <w:b/>
                <w:color w:val="000000"/>
                <w:sz w:val="20"/>
                <w:szCs w:val="20"/>
              </w:rPr>
              <w:t>E：建材批发所涉及场所的相关环境管理活动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O：建材批发所涉及场所的相关职业健康安全管理活动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Q：29.11.03</w:t>
            </w:r>
          </w:p>
          <w:p>
            <w:pPr>
              <w:spacing w:line="280" w:lineRule="exact"/>
              <w:rPr>
                <w:rFonts w:ascii="宋体"/>
                <w:b/>
                <w:color w:val="000000"/>
                <w:sz w:val="20"/>
                <w:szCs w:val="20"/>
              </w:rPr>
            </w:pPr>
            <w:r>
              <w:rPr>
                <w:rFonts w:ascii="宋体"/>
                <w:b/>
                <w:color w:val="000000"/>
                <w:sz w:val="20"/>
                <w:szCs w:val="20"/>
              </w:rPr>
              <w:t>E：29.11.03</w:t>
            </w:r>
          </w:p>
          <w:p>
            <w:pPr>
              <w:spacing w:line="280" w:lineRule="exact"/>
              <w:rPr>
                <w:rFonts w:ascii="宋体"/>
                <w:b/>
                <w:color w:val="000000"/>
                <w:sz w:val="20"/>
                <w:szCs w:val="20"/>
              </w:rPr>
            </w:pPr>
            <w:r>
              <w:rPr>
                <w:rFonts w:ascii="宋体"/>
                <w:b/>
                <w:color w:val="000000"/>
                <w:sz w:val="20"/>
                <w:szCs w:val="20"/>
              </w:rPr>
              <w:t>O：29.11.03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张家口市万全区宣平堡乡水泉堡村东</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b/>
                <w:color w:val="000000"/>
                <w:sz w:val="20"/>
                <w:szCs w:val="20"/>
                <w:lang w:val="en-US" w:eastAsia="zh-CN"/>
              </w:rPr>
              <w:t>建材批发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办公室、销售部、财务部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张家口市万全区宣平堡乡水泉堡村东</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FF"/>
                <w:sz w:val="20"/>
                <w:szCs w:val="20"/>
                <w:lang w:val="en-US" w:eastAsia="zh-CN"/>
              </w:rPr>
            </w:pPr>
            <w:r>
              <w:rPr>
                <w:rFonts w:hint="eastAsia" w:ascii="宋体"/>
                <w:color w:val="auto"/>
                <w:sz w:val="20"/>
                <w:szCs w:val="20"/>
              </w:rPr>
              <w:t>其他资质：</w:t>
            </w:r>
            <w:r>
              <w:rPr>
                <w:rFonts w:hint="eastAsia" w:asci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FF"/>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产品技术标准号：</w:t>
            </w:r>
            <w:r>
              <w:rPr>
                <w:rFonts w:hint="eastAsia" w:ascii="宋体" w:hAnsi="宋体"/>
                <w:color w:val="000000"/>
                <w:sz w:val="20"/>
                <w:szCs w:val="20"/>
                <w:lang w:val="en-US" w:eastAsia="zh-CN"/>
              </w:rPr>
              <w:t>通用硅酸盐水泥GB175-2007、水泥化学分析方法GB/T 176-2017、铝酸盐水泥GB/T 201-2015、水泥细度检验方法-筛吸法GB/T 1345-2005、钢筋混凝土用钢GB/T 1499、用于水泥和混凝土中的粉煤灰GB/T 1596-2017、聚羧酸系高性能减水剂JG/T 223-2017等、</w:t>
            </w:r>
            <w:r>
              <w:rPr>
                <w:rFonts w:hint="eastAsia" w:ascii="宋体" w:hAnsi="宋体"/>
                <w:color w:val="000000"/>
                <w:sz w:val="20"/>
                <w:szCs w:val="20"/>
              </w:rPr>
              <w:sym w:font="Wingdings 2" w:char="00A3"/>
            </w:r>
            <w:r>
              <w:rPr>
                <w:rFonts w:hint="eastAsia" w:ascii="宋体" w:hAnsi="宋体"/>
                <w:color w:val="000000"/>
                <w:sz w:val="20"/>
                <w:szCs w:val="20"/>
              </w:rPr>
              <w:t>合同：</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hAnsi="宋体"/>
                <w:color w:val="000000"/>
                <w:sz w:val="20"/>
                <w:szCs w:val="20"/>
              </w:rPr>
              <w:t>环境执行标准：</w:t>
            </w:r>
            <w:r>
              <w:rPr>
                <w:rFonts w:hint="eastAsia" w:ascii="宋体" w:hAnsi="宋体"/>
                <w:color w:val="000000"/>
                <w:sz w:val="20"/>
                <w:szCs w:val="20"/>
                <w:lang w:val="en-US" w:eastAsia="zh-CN"/>
              </w:rPr>
              <w:t>环境保护法、消防法、清洁生产促进法、环境管理体系要求及使用指南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hAnsi="宋体"/>
                <w:color w:val="000000"/>
                <w:sz w:val="20"/>
                <w:szCs w:val="20"/>
              </w:rPr>
              <w:t>执行标准：</w:t>
            </w:r>
            <w:r>
              <w:rPr>
                <w:rFonts w:hint="eastAsia" w:ascii="宋体" w:hAnsi="宋体"/>
                <w:color w:val="000000"/>
                <w:sz w:val="20"/>
                <w:szCs w:val="20"/>
                <w:lang w:val="en-US" w:eastAsia="zh-CN"/>
              </w:rPr>
              <w:t>劳动合同法</w:t>
            </w:r>
            <w:r>
              <w:rPr>
                <w:rFonts w:hint="default" w:ascii="宋体" w:hAnsi="宋体"/>
                <w:color w:val="000000"/>
                <w:sz w:val="20"/>
                <w:szCs w:val="20"/>
              </w:rPr>
              <w:t>、</w:t>
            </w:r>
            <w:r>
              <w:rPr>
                <w:rFonts w:hint="eastAsia" w:ascii="宋体" w:hAnsi="宋体"/>
                <w:color w:val="000000"/>
                <w:sz w:val="20"/>
                <w:szCs w:val="20"/>
                <w:lang w:val="en-US" w:eastAsia="zh-CN"/>
              </w:rPr>
              <w:t>消防法、工伤保险条例、劳动防护用品产品质量监督检验暂行管理办法、职业健康安全管理体系要求及使用指南等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hint="eastAsia" w:ascii="宋体" w:hAnsi="宋体"/>
                <w:color w:val="000000"/>
                <w:sz w:val="20"/>
                <w:szCs w:val="20"/>
              </w:rPr>
            </w:pPr>
            <w:r>
              <w:rPr>
                <w:rFonts w:hint="eastAsia" w:ascii="宋体" w:hAnsi="宋体"/>
                <w:color w:val="000000"/>
                <w:sz w:val="20"/>
                <w:szCs w:val="20"/>
              </w:rPr>
              <w:t>产品生产工艺/</w:t>
            </w:r>
          </w:p>
          <w:p>
            <w:pPr>
              <w:rPr>
                <w:rFonts w:hint="eastAsia" w:ascii="宋体" w:hAns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sz w:val="20"/>
                <w:szCs w:val="20"/>
              </w:rPr>
            </w:pPr>
            <w:r>
              <w:rPr>
                <w:rFonts w:hint="eastAsia" w:ascii="宋体" w:hAnsi="宋体"/>
                <w:color w:val="000000"/>
                <w:sz w:val="20"/>
                <w:szCs w:val="20"/>
                <w:lang w:val="en-US" w:eastAsia="zh-CN"/>
              </w:rPr>
              <w:t>合同意向---合同评审----合同签订----采购计划----采购实施---进货检验-----合同日期发货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s="Times New Roman"/>
                <w:color w:val="000000"/>
                <w:sz w:val="20"/>
                <w:szCs w:val="20"/>
                <w:lang w:val="en-US" w:eastAsia="zh-CN"/>
              </w:rPr>
              <w:t>销售部工作流程、与顾客有关的过程控制程序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电脑、电话、打印机、传真机等办公室设备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350平米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szCs w:val="21"/>
                <w:lang w:val="en-US" w:eastAsia="zh-CN"/>
              </w:rPr>
              <w:t>潜在火灾、废旧墨盒的排放、口罩的废弃、车辆油品泄露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eastAsia="zh-CN"/>
              </w:rPr>
              <w:t>火灾应急预案、触电应急预案、疫情防控应急预案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cs="宋体"/>
                <w:szCs w:val="21"/>
                <w:lang w:val="en-US" w:eastAsia="zh-CN"/>
              </w:rPr>
              <w:t>火灾、触电、人身伤害、病毒感染与传播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r>
              <w:rPr>
                <w:rFonts w:hint="eastAsia" w:ascii="宋体" w:hAnsi="宋体"/>
                <w:b/>
                <w:color w:val="000000"/>
                <w:sz w:val="20"/>
                <w:szCs w:val="20"/>
                <w:lang w:val="en-US" w:eastAsia="zh-CN"/>
              </w:rPr>
              <w:t>是</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b/>
                <w:color w:val="000000"/>
                <w:sz w:val="20"/>
                <w:szCs w:val="20"/>
              </w:rPr>
            </w:pPr>
            <w:r>
              <w:rPr>
                <w:rFonts w:hint="eastAsia" w:ascii="宋体" w:hAnsi="宋体" w:cs="Times New Roman"/>
                <w:b/>
                <w:color w:val="000000"/>
                <w:sz w:val="20"/>
                <w:szCs w:val="20"/>
              </w:rPr>
              <w:t>管理体系在审核范围内基本符合审核准则并得到有效运行，已初步具有以防止不符合、满足顾客要求与法律法规的能力，已初步形成了持续改进机制。</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cs="Times New Roman"/>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Times New Roman"/>
                <w:b/>
                <w:color w:val="000000"/>
                <w:sz w:val="20"/>
                <w:szCs w:val="20"/>
              </w:rPr>
              <w:t>a、公司的方针是适宜的。</w:t>
            </w:r>
          </w:p>
          <w:p>
            <w:pPr>
              <w:spacing w:line="260" w:lineRule="exact"/>
              <w:rPr>
                <w:rFonts w:ascii="宋体"/>
                <w:b/>
                <w:color w:val="000000"/>
                <w:sz w:val="20"/>
                <w:szCs w:val="20"/>
              </w:rPr>
            </w:pPr>
            <w:r>
              <w:rPr>
                <w:rFonts w:hint="eastAsia" w:ascii="宋体" w:hAnsi="宋体" w:cs="Times New Roman"/>
                <w:b/>
                <w:color w:val="000000"/>
                <w:sz w:val="20"/>
                <w:szCs w:val="20"/>
              </w:rPr>
              <w:t>b、公司的管理体系是适宜的、充分的和有效的。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400" w:lineRule="exact"/>
        <w:ind w:firstLine="201" w:firstLineChars="100"/>
        <w:rPr>
          <w:rFonts w:ascii="宋体"/>
          <w:b/>
          <w:color w:val="000000"/>
          <w:sz w:val="20"/>
          <w:szCs w:val="20"/>
          <w:u w:val="single"/>
        </w:rPr>
      </w:pPr>
      <w:r>
        <w:rPr>
          <w:rFonts w:ascii="宋体" w:hAnsi="宋体"/>
          <w:b/>
          <w:color w:val="000000"/>
          <w:sz w:val="20"/>
          <w:szCs w:val="20"/>
          <w:u w:val="none"/>
        </w:rPr>
        <w:t>QMS:</w:t>
      </w:r>
      <w:r>
        <w:rPr>
          <w:rFonts w:ascii="宋体" w:hAnsi="宋体"/>
          <w:b/>
          <w:color w:val="000000"/>
          <w:sz w:val="20"/>
          <w:szCs w:val="20"/>
          <w:u w:val="single"/>
        </w:rPr>
        <w:t>建材批发</w:t>
      </w:r>
    </w:p>
    <w:p>
      <w:pPr>
        <w:spacing w:line="300" w:lineRule="auto"/>
        <w:ind w:firstLine="201" w:firstLineChars="100"/>
        <w:rPr>
          <w:rFonts w:ascii="宋体"/>
          <w:b/>
          <w:color w:val="000000"/>
          <w:sz w:val="20"/>
          <w:szCs w:val="20"/>
          <w:u w:val="single"/>
        </w:rPr>
      </w:pPr>
      <w:r>
        <w:rPr>
          <w:rFonts w:ascii="宋体" w:hAnsi="宋体"/>
          <w:b/>
          <w:color w:val="000000"/>
          <w:sz w:val="20"/>
          <w:szCs w:val="20"/>
          <w:u w:val="none"/>
        </w:rPr>
        <w:t>EMS</w:t>
      </w:r>
      <w:r>
        <w:rPr>
          <w:rFonts w:ascii="宋体" w:hAnsi="宋体"/>
          <w:b/>
          <w:color w:val="000000"/>
          <w:sz w:val="20"/>
          <w:szCs w:val="20"/>
          <w:u w:val="none"/>
          <w:lang w:val="en-GB"/>
        </w:rPr>
        <w:t>:</w:t>
      </w:r>
      <w:r>
        <w:rPr>
          <w:rFonts w:ascii="宋体" w:hAnsi="宋体"/>
          <w:b/>
          <w:color w:val="000000"/>
          <w:sz w:val="20"/>
          <w:szCs w:val="20"/>
          <w:u w:val="none"/>
        </w:rPr>
        <w:t xml:space="preserve"> </w:t>
      </w:r>
      <w:r>
        <w:rPr>
          <w:rFonts w:ascii="宋体" w:hAnsi="宋体"/>
          <w:b/>
          <w:color w:val="000000"/>
          <w:sz w:val="20"/>
          <w:szCs w:val="20"/>
          <w:u w:val="single"/>
        </w:rPr>
        <w:t>建材批发所涉及场所的相关环境管理活动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u w:val="none"/>
        </w:rPr>
        <w:t>OHSMS</w:t>
      </w:r>
      <w:r>
        <w:rPr>
          <w:rFonts w:ascii="宋体" w:hAnsi="宋体"/>
          <w:b/>
          <w:color w:val="000000"/>
          <w:sz w:val="20"/>
          <w:szCs w:val="20"/>
          <w:u w:val="none"/>
          <w:lang w:val="en-GB"/>
        </w:rPr>
        <w:t>:</w:t>
      </w:r>
      <w:r>
        <w:rPr>
          <w:rFonts w:ascii="宋体" w:hAnsi="宋体"/>
          <w:b/>
          <w:color w:val="000000"/>
          <w:sz w:val="20"/>
          <w:szCs w:val="20"/>
          <w:u w:val="single"/>
        </w:rPr>
        <w:t>建材批发所涉及场所的相关职业健康安全管理活动</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1837690</wp:posOffset>
            </wp:positionH>
            <wp:positionV relativeFrom="paragraph">
              <wp:posOffset>120015</wp:posOffset>
            </wp:positionV>
            <wp:extent cx="1031875" cy="548005"/>
            <wp:effectExtent l="0" t="0" r="4445" b="635"/>
            <wp:wrapNone/>
            <wp:docPr id="1" name="图片 1" descr="3a6222717489ae1c7035839cd83f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6222717489ae1c7035839cd83f611"/>
                    <pic:cNvPicPr>
                      <a:picLocks noChangeAspect="1"/>
                    </pic:cNvPicPr>
                  </pic:nvPicPr>
                  <pic:blipFill>
                    <a:blip r:embed="rId6"/>
                    <a:stretch>
                      <a:fillRect/>
                    </a:stretch>
                  </pic:blipFill>
                  <pic:spPr>
                    <a:xfrm>
                      <a:off x="0" y="0"/>
                      <a:ext cx="1031875" cy="5480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drawing>
          <wp:anchor distT="0" distB="0" distL="114300" distR="114300" simplePos="0" relativeHeight="251665408" behindDoc="0" locked="0" layoutInCell="1" allowOverlap="1">
            <wp:simplePos x="0" y="0"/>
            <wp:positionH relativeFrom="column">
              <wp:posOffset>1651635</wp:posOffset>
            </wp:positionH>
            <wp:positionV relativeFrom="paragraph">
              <wp:posOffset>220980</wp:posOffset>
            </wp:positionV>
            <wp:extent cx="1608455" cy="549910"/>
            <wp:effectExtent l="0" t="0" r="0" b="0"/>
            <wp:wrapNone/>
            <wp:docPr id="3" name="图片 3"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夏楠楠"/>
                    <pic:cNvPicPr>
                      <a:picLocks noChangeAspect="1"/>
                    </pic:cNvPicPr>
                  </pic:nvPicPr>
                  <pic:blipFill>
                    <a:blip r:embed="rId7"/>
                    <a:srcRect t="23052" r="2370" b="22839"/>
                    <a:stretch>
                      <a:fillRect/>
                    </a:stretch>
                  </pic:blipFill>
                  <pic:spPr>
                    <a:xfrm>
                      <a:off x="0" y="0"/>
                      <a:ext cx="1608455" cy="54991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2021.1.17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7.55pt;margin-top:-160.9pt;height:259.55pt;width:448.2pt;z-index:251671552;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3F3E20"/>
    <w:rsid w:val="38E72F6D"/>
    <w:rsid w:val="3B216024"/>
    <w:rsid w:val="5022256B"/>
    <w:rsid w:val="6EF52C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李蒙生</cp:lastModifiedBy>
  <dcterms:modified xsi:type="dcterms:W3CDTF">2021-01-19T03:26:42Z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