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乐生活智慧社区服务集团股份有限公司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乐生活智慧社区服务集团股份有限公司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人数55人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北京市石景山区实兴东街8号院1号楼（京汉大厦）104-107号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100041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北京市石景山区实兴东街8号院1号楼（京汉大厦）104-107号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100041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北京市石景山区实兴东街8号院1号楼（京汉大厦）104-107号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100041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刘惠敏</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13126824080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雷易群</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闫刚</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2021年01月16日 上午至2021年01月18日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color w:val="000000"/>
                <w:szCs w:val="21"/>
              </w:rPr>
            </w:pPr>
            <w:bookmarkStart w:id="23" w:name="审核范围"/>
            <w:r>
              <w:rPr>
                <w:rFonts w:hint="eastAsia" w:ascii="宋体" w:hAnsi="宋体"/>
                <w:szCs w:val="21"/>
              </w:rPr>
              <w:t>Q：物业管理</w:t>
            </w:r>
          </w:p>
          <w:p>
            <w:pPr>
              <w:rPr>
                <w:rFonts w:hint="eastAsia" w:ascii="宋体" w:hAnsi="宋体"/>
                <w:szCs w:val="21"/>
              </w:rPr>
            </w:pPr>
            <w:r>
              <w:rPr>
                <w:rFonts w:hint="eastAsia" w:ascii="宋体" w:hAnsi="宋体"/>
                <w:szCs w:val="21"/>
              </w:rPr>
              <w:t>E：物业管理及其所涉及的环境管理活动</w:t>
            </w:r>
          </w:p>
          <w:p>
            <w:pPr>
              <w:spacing w:line="360" w:lineRule="exact"/>
              <w:rPr>
                <w:rFonts w:ascii="宋体" w:hAnsi="宋体"/>
                <w:b/>
                <w:sz w:val="21"/>
                <w:szCs w:val="21"/>
              </w:rPr>
            </w:pPr>
            <w:r>
              <w:rPr>
                <w:rFonts w:hint="eastAsia" w:ascii="宋体" w:hAnsi="宋体"/>
                <w:szCs w:val="21"/>
              </w:rPr>
              <w:t>O：物业管理及其所涉及的职业健康安全管理活动</w:t>
            </w:r>
            <w:bookmarkEnd w:id="23"/>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2023-2-9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2020-01-13 -- 2020-01-20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rPr>
                <w:rStyle w:val="15"/>
                <w:rFonts w:hint="eastAsia" w:ascii="Arial" w:hAnsi="Arial" w:cs="Arial"/>
                <w:color w:val="333333"/>
                <w:sz w:val="21"/>
                <w:szCs w:val="22"/>
                <w:shd w:val="clear" w:color="auto" w:fill="FFFFFF"/>
              </w:rPr>
            </w:pPr>
            <w:bookmarkStart w:id="25" w:name="_Hlk26211546"/>
            <w:r>
              <w:rPr>
                <w:rStyle w:val="15"/>
                <w:rFonts w:hint="eastAsia" w:ascii="Arial" w:hAnsi="Arial" w:cs="Arial"/>
                <w:color w:val="333333"/>
                <w:sz w:val="21"/>
                <w:szCs w:val="22"/>
                <w:shd w:val="clear" w:color="auto" w:fill="FFFFFF"/>
              </w:rPr>
              <w:t>乐生活智慧社区服务集团股份有限公司，成立2003-02-13 - 2023-02-13，注册资金：5436万，企业信用代码：91110107747544508R，注册地址：北京市石景山区实兴东街8号院1号楼(京汉大厦)104-107号，经营范围包括物业管理；送水服务（纯净水）；项目投资；投资管理；接受委托从事物业管理；房地产信息咨询；家居装饰；装饰设计；从事房地产经纪；机动车停车场；保洁服务；家政服务；餐饮管理；医院管理；从事商业经纪业务；代理发布广告；销售服装服饰、体育用品、五金交电；技术开发、技术转让、技术服务、技术咨询；经济信息咨询；出租商业用房；热力供应；供暖设备维修及租赁。（“1、未经有关部门批准，不得以公开方式募集资金；2、不得公开开展证券类产品和金融衍生品交易活动；3、不得发放贷款；4、不得对所投资企业以外的其他企业提供担保；5、不得向投资者承诺投资本金不受损失或者承诺最低收益”；企业依法自主选择经营项目，开展经营活动；依法须经批准的项目，经相关部门批准后依批准的内容开展经营活动；不得从事本市产业政策禁止和限制类项目的经营活动。） ，公司的主要客户群为全国各地的企业、机关等；公司采用总经理负责制，层层把关，让用户真正放心</w:t>
            </w:r>
          </w:p>
          <w:p>
            <w:pPr>
              <w:pStyle w:val="14"/>
              <w:rPr>
                <w:rFonts w:hint="eastAsia"/>
              </w:rPr>
            </w:pPr>
          </w:p>
          <w:bookmarkEnd w:id="25"/>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spacing w:line="400" w:lineRule="exact"/>
              <w:rPr>
                <w:rStyle w:val="15"/>
                <w:rFonts w:hint="eastAsia" w:ascii="Arial" w:hAnsi="Arial" w:cs="Arial"/>
                <w:color w:val="333333"/>
                <w:sz w:val="21"/>
                <w:szCs w:val="22"/>
                <w:shd w:val="clear" w:color="auto" w:fill="FFFFFF"/>
              </w:rPr>
            </w:pPr>
            <w:r>
              <w:rPr>
                <w:rStyle w:val="15"/>
                <w:rFonts w:hint="eastAsia" w:ascii="Arial" w:hAnsi="Arial" w:cs="Arial"/>
                <w:color w:val="333333"/>
                <w:sz w:val="21"/>
                <w:szCs w:val="22"/>
                <w:shd w:val="clear" w:color="auto" w:fill="FFFFFF"/>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spacing w:line="400" w:lineRule="exact"/>
            </w:pPr>
            <w:r>
              <w:rPr>
                <w:rStyle w:val="15"/>
                <w:rFonts w:hint="eastAsia" w:ascii="Arial" w:hAnsi="Arial" w:cs="Arial"/>
                <w:color w:val="333333"/>
                <w:sz w:val="21"/>
                <w:szCs w:val="22"/>
                <w:shd w:val="clear" w:color="auto" w:fill="FFFFFF"/>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b/>
                <w:bCs/>
              </w:rPr>
            </w:pPr>
            <w:r>
              <w:rPr>
                <w:rFonts w:hint="eastAsia"/>
                <w:b/>
                <w:bCs/>
              </w:rPr>
              <w:t>顾客至上、强化服务</w:t>
            </w:r>
            <w:r>
              <w:rPr>
                <w:rFonts w:hint="eastAsia"/>
                <w:b/>
                <w:bCs/>
                <w:lang w:val="en-US" w:eastAsia="zh-CN"/>
              </w:rPr>
              <w:t xml:space="preserve"> </w:t>
            </w:r>
            <w:r>
              <w:rPr>
                <w:rFonts w:hint="eastAsia"/>
                <w:b/>
                <w:bCs/>
              </w:rPr>
              <w:t>以人为本、顾客满意</w:t>
            </w:r>
          </w:p>
          <w:p>
            <w:pPr>
              <w:rPr>
                <w:b/>
                <w:bCs/>
              </w:rPr>
            </w:pPr>
            <w:r>
              <w:rPr>
                <w:rFonts w:hint="eastAsia"/>
                <w:b/>
                <w:bCs/>
              </w:rPr>
              <w:t>节能降耗、安全第一</w:t>
            </w:r>
            <w:r>
              <w:rPr>
                <w:rFonts w:hint="eastAsia"/>
                <w:b/>
                <w:bCs/>
                <w:lang w:val="en-US" w:eastAsia="zh-CN"/>
              </w:rPr>
              <w:t xml:space="preserve">  </w:t>
            </w:r>
            <w:r>
              <w:rPr>
                <w:rFonts w:hint="eastAsia"/>
                <w:b/>
                <w:bCs/>
              </w:rPr>
              <w:t>珍惜环境、和谐发展</w:t>
            </w:r>
          </w:p>
          <w:p>
            <w:pPr>
              <w:pStyle w:val="14"/>
              <w:rPr>
                <w:rStyle w:val="15"/>
                <w:rFonts w:hint="eastAsia" w:ascii="Arial" w:hAnsi="Arial" w:eastAsia="宋体" w:cs="Arial"/>
                <w:bCs w:val="0"/>
                <w:color w:val="333333"/>
                <w:spacing w:val="0"/>
                <w:kern w:val="2"/>
                <w:sz w:val="21"/>
                <w:szCs w:val="22"/>
                <w:shd w:val="clear" w:color="auto" w:fill="FFFFFF"/>
                <w:lang w:val="en-US" w:eastAsia="zh-CN" w:bidi="ar-SA"/>
              </w:rPr>
            </w:pPr>
            <w:r>
              <w:rPr>
                <w:rStyle w:val="15"/>
                <w:rFonts w:hint="eastAsia" w:ascii="Arial" w:hAnsi="Arial" w:eastAsia="宋体" w:cs="Arial"/>
                <w:bCs w:val="0"/>
                <w:color w:val="333333"/>
                <w:spacing w:val="0"/>
                <w:kern w:val="2"/>
                <w:sz w:val="21"/>
                <w:szCs w:val="22"/>
                <w:shd w:val="clear" w:color="auto" w:fill="FFFFFF"/>
                <w:lang w:val="en-US" w:eastAsia="zh-CN" w:bidi="ar-SA"/>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14"/>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Cs/>
              </w:rPr>
            </w:pPr>
            <w:bookmarkStart w:id="26" w:name="_Hlk21459827"/>
            <w:r>
              <w:rPr>
                <w:rFonts w:hint="eastAsia"/>
                <w:bCs/>
              </w:rPr>
              <w:t>客户开发---项目评估---合同签订---进驻项目现场---物业管理</w:t>
            </w:r>
            <w:r>
              <w:rPr>
                <w:rFonts w:hint="eastAsia" w:ascii="宋体" w:hAnsi="宋体"/>
              </w:rPr>
              <w:t>（保安服务、保洁服务、配电、电梯运维等）-----服务检查</w:t>
            </w:r>
            <w:r>
              <w:rPr>
                <w:rFonts w:hint="eastAsia"/>
                <w:bCs/>
              </w:rPr>
              <w:t>---客户满意调查---回访</w:t>
            </w:r>
          </w:p>
          <w:bookmarkEnd w:id="26"/>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rPr>
                <w:rFonts w:hint="eastAsia" w:ascii="宋体" w:hAnsi="宋体"/>
                <w:sz w:val="21"/>
                <w:szCs w:val="21"/>
                <w:lang w:eastAsia="zh-CN"/>
              </w:rPr>
            </w:pPr>
            <w:r>
              <w:rPr>
                <w:rFonts w:ascii="宋体" w:hAnsi="宋体"/>
                <w:b/>
                <w:color w:val="000000" w:themeColor="text1"/>
                <w:sz w:val="20"/>
                <w:szCs w:val="20"/>
              </w:rPr>
              <w:pict>
                <v:shape id="_x0000_s2052" o:spid="_x0000_s2052"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ascii="宋体" w:hAnsi="宋体"/>
                <w:sz w:val="21"/>
                <w:szCs w:val="21"/>
              </w:rPr>
              <w:t>不适用条款：8.3</w:t>
            </w:r>
            <w:r>
              <w:rPr>
                <w:rFonts w:hint="eastAsia" w:ascii="宋体" w:hAnsi="宋体"/>
                <w:sz w:val="21"/>
                <w:szCs w:val="21"/>
                <w:lang w:eastAsia="zh-CN"/>
              </w:rPr>
              <w:t>，</w:t>
            </w:r>
            <w:r>
              <w:rPr>
                <w:rFonts w:hint="eastAsia" w:ascii="宋体" w:hAnsi="宋体"/>
                <w:sz w:val="21"/>
                <w:szCs w:val="21"/>
                <w:lang w:val="en-US" w:eastAsia="zh-CN"/>
              </w:rPr>
              <w:t>不适用，理由：因</w:t>
            </w:r>
            <w:r>
              <w:rPr>
                <w:rFonts w:hint="eastAsia" w:ascii="宋体" w:hAnsi="宋体"/>
                <w:sz w:val="21"/>
                <w:szCs w:val="21"/>
              </w:rPr>
              <w:t>物业管理</w:t>
            </w:r>
            <w:r>
              <w:rPr>
                <w:rFonts w:hint="eastAsia" w:ascii="宋体" w:hAnsi="宋体"/>
                <w:sz w:val="21"/>
                <w:szCs w:val="21"/>
                <w:lang w:eastAsia="zh-CN"/>
              </w:rPr>
              <w:t>，</w:t>
            </w:r>
            <w:r>
              <w:rPr>
                <w:rFonts w:hint="eastAsia" w:ascii="宋体" w:hAnsi="宋体"/>
                <w:sz w:val="21"/>
                <w:szCs w:val="21"/>
                <w:lang w:val="en-US" w:eastAsia="zh-CN"/>
              </w:rPr>
              <w:t>按照国家标准及顾客的要求进行，该条款的不适用,</w:t>
            </w:r>
            <w:r>
              <w:rPr>
                <w:rFonts w:hint="eastAsia" w:ascii="宋体" w:hAnsi="宋体"/>
                <w:sz w:val="21"/>
                <w:szCs w:val="21"/>
              </w:rPr>
              <w:t xml:space="preserve">不影响组织确保其产品和服务合格的能力和责任，也不会对增强顾客满意产生影响 </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编制了《环境因素的识别与评价控制程序》符合标准要求.</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提供的“环境因素识别评价表”“重要环境因素清单”， 评价考虑了三种时态现在、过去、将来、三种状态、异常、正常、紧急考虑了法律法规，并进行了评价，针对服装机械设备及零配件的物业管理过程，用打分法考虑了法规符合性、发生频次、影响范围等, 通过定性判断法，共识别出重大环境因素2项：固废排放、火灾，评价符合程序要求及公司的实际情况。</w:t>
            </w:r>
          </w:p>
          <w:p>
            <w:pPr>
              <w:rPr>
                <w:rFonts w:ascii="宋体" w:hAnsi="宋体"/>
                <w:b/>
                <w:sz w:val="21"/>
                <w:szCs w:val="21"/>
              </w:rPr>
            </w:pPr>
            <w:r>
              <w:rPr>
                <w:rFonts w:hint="eastAsia" w:ascii="宋体" w:hAnsi="宋体" w:cs="Times New Roman"/>
                <w:sz w:val="21"/>
                <w:szCs w:val="21"/>
                <w:lang w:val="en-US" w:eastAsia="zh-CN"/>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r>
              <w:rPr>
                <w:rFonts w:hint="eastAsia" w:ascii="宋体" w:hAnsi="宋体" w:cs="Times New Roman"/>
                <w:sz w:val="21"/>
                <w:szCs w:val="21"/>
                <w:lang w:val="en-US" w:eastAsia="zh-CN"/>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t xml:space="preserve">5. </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spacing w:line="240" w:lineRule="exact"/>
            </w:pPr>
          </w:p>
          <w:p>
            <w:pPr>
              <w:pStyle w:val="14"/>
            </w:pPr>
          </w:p>
          <w:p>
            <w:pPr>
              <w:pStyle w:val="14"/>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bCs/>
                <w:szCs w:val="21"/>
              </w:rPr>
            </w:pPr>
          </w:p>
          <w:p>
            <w:pPr>
              <w:spacing w:line="300" w:lineRule="exact"/>
              <w:rPr>
                <w:rFonts w:ascii="宋体" w:hAnsi="宋体"/>
                <w:b/>
                <w:sz w:val="21"/>
                <w:szCs w:val="21"/>
              </w:rPr>
            </w:pPr>
            <w:r>
              <w:rPr>
                <w:rFonts w:hint="eastAsia"/>
                <w:bCs/>
                <w:szCs w:val="21"/>
              </w:rPr>
              <w:t>该公司员工</w:t>
            </w:r>
            <w:r>
              <w:rPr>
                <w:rFonts w:hint="eastAsia"/>
                <w:bCs/>
                <w:szCs w:val="21"/>
                <w:lang w:val="en-US" w:eastAsia="zh-CN"/>
              </w:rPr>
              <w:t>原</w:t>
            </w:r>
            <w:r>
              <w:rPr>
                <w:rFonts w:hint="eastAsia"/>
                <w:bCs/>
                <w:szCs w:val="21"/>
              </w:rPr>
              <w:t>275人</w:t>
            </w:r>
            <w:r>
              <w:rPr>
                <w:rFonts w:hint="eastAsia"/>
                <w:bCs/>
                <w:szCs w:val="21"/>
                <w:lang w:eastAsia="zh-CN"/>
              </w:rPr>
              <w:t>，</w:t>
            </w:r>
            <w:r>
              <w:rPr>
                <w:rFonts w:hint="eastAsia"/>
                <w:bCs/>
                <w:szCs w:val="21"/>
                <w:lang w:val="en-US" w:eastAsia="zh-CN"/>
              </w:rPr>
              <w:t>因体制变化，今年为55人</w:t>
            </w:r>
            <w:r>
              <w:rPr>
                <w:rFonts w:hint="eastAsia"/>
                <w:bCs/>
                <w:szCs w:val="21"/>
              </w:rPr>
              <w:t>，管理人</w:t>
            </w:r>
            <w:r>
              <w:rPr>
                <w:rFonts w:hint="eastAsia"/>
                <w:bCs/>
                <w:szCs w:val="21"/>
                <w:lang w:val="en-US" w:eastAsia="zh-CN"/>
              </w:rPr>
              <w:t>10</w:t>
            </w:r>
            <w:r>
              <w:rPr>
                <w:rFonts w:hint="eastAsia"/>
                <w:bCs/>
                <w:szCs w:val="21"/>
              </w:rPr>
              <w:t>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5"/>
                <w:rFonts w:ascii="Arial" w:hAnsi="Arial" w:cs="Arial"/>
                <w:color w:val="333333"/>
                <w:shd w:val="clear" w:color="auto" w:fill="FFFFFF"/>
              </w:rPr>
            </w:pPr>
            <w:r>
              <w:rPr>
                <w:rStyle w:val="15"/>
                <w:rFonts w:hint="eastAsia" w:ascii="Arial" w:hAnsi="Arial" w:cs="Arial"/>
                <w:color w:val="333333"/>
                <w:shd w:val="clear" w:color="auto" w:fill="FFFFFF"/>
              </w:rPr>
              <w:t>物业管理设备：无绳电话、拖把、抹布、扫帚、手电办公设备：电脑、电话、打印机等</w:t>
            </w:r>
          </w:p>
          <w:p>
            <w:pPr>
              <w:pStyle w:val="14"/>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环保设备：垃圾桶、灭火器</w:t>
            </w:r>
          </w:p>
          <w:p>
            <w:pPr>
              <w:pStyle w:val="14"/>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ascii="Arial" w:hAnsi="Arial" w:eastAsia="宋体" w:cs="Arial"/>
                <w:color w:val="333333"/>
                <w:shd w:val="clear" w:color="auto" w:fill="FFFFFF"/>
                <w:lang w:val="en-US" w:eastAsia="zh-CN"/>
              </w:rPr>
            </w:pPr>
            <w:r>
              <w:rPr>
                <w:rStyle w:val="15"/>
                <w:rFonts w:hint="eastAsia" w:ascii="Arial" w:hAnsi="Arial" w:cs="Arial"/>
                <w:color w:val="333333"/>
                <w:shd w:val="clear" w:color="auto" w:fill="FFFFFF"/>
                <w:lang w:val="en-US" w:eastAsia="zh-CN"/>
              </w:rPr>
              <w:t>监视资源有万用表、压力表，均提供有检验报告，报告在有效期内，见附件</w:t>
            </w:r>
          </w:p>
          <w:p>
            <w:pPr>
              <w:spacing w:line="240" w:lineRule="exact"/>
              <w:rPr>
                <w:rFonts w:ascii="宋体" w:hAnsi="宋体"/>
                <w:b/>
                <w:sz w:val="21"/>
                <w:szCs w:val="21"/>
              </w:rPr>
            </w:pPr>
            <w:r>
              <w:rPr>
                <w:rFonts w:hint="eastAsia"/>
                <w:lang w:val="en-US" w:eastAsia="zh-CN"/>
              </w:rPr>
              <w:t>同时</w:t>
            </w:r>
            <w:r>
              <w:rPr>
                <w:rFonts w:hint="eastAsia"/>
              </w:rPr>
              <w:t>编制有</w:t>
            </w:r>
            <w:r>
              <w:rPr>
                <w:rFonts w:hint="eastAsia"/>
                <w:lang w:val="en-US" w:eastAsia="zh-CN"/>
              </w:rPr>
              <w:t>物业管理</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14"/>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rFonts w:hint="default" w:eastAsia="宋体"/>
                <w:b/>
                <w:color w:val="000000" w:themeColor="text1"/>
                <w:sz w:val="20"/>
                <w:szCs w:val="20"/>
                <w:lang w:val="en-US" w:eastAsia="zh-CN"/>
                <w14:textFill>
                  <w14:solidFill>
                    <w14:schemeClr w14:val="tx1"/>
                  </w14:solidFill>
                </w14:textFill>
              </w:rPr>
            </w:pPr>
            <w:bookmarkStart w:id="27" w:name="_GoBack"/>
            <w:r>
              <w:rPr>
                <w:rFonts w:hint="eastAsia"/>
                <w:b/>
                <w:color w:val="000000" w:themeColor="text1"/>
                <w:sz w:val="20"/>
                <w:szCs w:val="20"/>
                <w14:textFill>
                  <w14:solidFill>
                    <w14:schemeClr w14:val="tx1"/>
                  </w14:solidFill>
                </w14:textFill>
              </w:rPr>
              <w:t xml:space="preserve"> 压力表  （见附件）</w:t>
            </w:r>
            <w:r>
              <w:rPr>
                <w:rFonts w:hint="eastAsia"/>
                <w:b/>
                <w:color w:val="000000" w:themeColor="text1"/>
                <w:sz w:val="20"/>
                <w:szCs w:val="20"/>
                <w:lang w:val="en-US" w:eastAsia="zh-CN"/>
                <w14:textFill>
                  <w14:solidFill>
                    <w14:schemeClr w14:val="tx1"/>
                  </w14:solidFill>
                </w14:textFill>
              </w:rPr>
              <w:t xml:space="preserve">  </w:t>
            </w:r>
          </w:p>
          <w:p>
            <w:pPr>
              <w:spacing w:line="300" w:lineRule="exact"/>
              <w:ind w:firstLine="197" w:firstLineChars="98"/>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（附相关证据）：</w:t>
            </w:r>
          </w:p>
          <w:bookmarkEnd w:id="27"/>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cs="宋体"/>
                <w:color w:val="auto"/>
                <w:szCs w:val="21"/>
              </w:rPr>
            </w:pPr>
          </w:p>
          <w:p>
            <w:pPr>
              <w:spacing w:line="240" w:lineRule="exact"/>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80" w:firstLineChars="200"/>
              <w:rPr>
                <w:rFonts w:hint="eastAsia"/>
                <w:bCs/>
                <w:szCs w:val="21"/>
              </w:rPr>
            </w:pPr>
          </w:p>
          <w:p>
            <w:pPr>
              <w:spacing w:line="240" w:lineRule="exact"/>
              <w:ind w:firstLine="480" w:firstLineChars="200"/>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rPr>
            </w:pPr>
            <w:r>
              <w:t>OHSMS</w:t>
            </w:r>
            <w:r>
              <w:rPr>
                <w:rFonts w:hint="eastAsia"/>
              </w:rPr>
              <w:t>组织对不可接受风险实施控制的结果</w:t>
            </w:r>
          </w:p>
          <w:p>
            <w:pPr>
              <w:pStyle w:val="14"/>
              <w:numPr>
                <w:ilvl w:val="0"/>
                <w:numId w:val="0"/>
              </w:numPr>
            </w:pPr>
            <w:r>
              <w:rPr>
                <w:rFonts w:hint="eastAsia"/>
                <w:bCs/>
                <w:szCs w:val="21"/>
              </w:rPr>
              <w:t>对不可接受风险（火灾</w:t>
            </w:r>
            <w:r>
              <w:rPr>
                <w:rFonts w:hint="eastAsia"/>
                <w:bCs/>
                <w:szCs w:val="21"/>
                <w:lang w:eastAsia="zh-CN"/>
              </w:rPr>
              <w:t>、</w:t>
            </w:r>
            <w:r>
              <w:rPr>
                <w:rFonts w:hint="eastAsia"/>
                <w:bCs/>
                <w:szCs w:val="21"/>
                <w:lang w:val="en-US" w:eastAsia="zh-CN"/>
              </w:rPr>
              <w:t>触电、意外伤害、高处坠落</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bCs/>
                <w:szCs w:val="21"/>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rPr>
              <w:t>电梯检验报告（见附件）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14"/>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20" w:hangingChars="50"/>
              <w:rPr>
                <w:rFonts w:hint="eastAsia"/>
              </w:rPr>
            </w:pPr>
            <w:r>
              <w:rPr>
                <w:rFonts w:hint="eastAsia"/>
              </w:rPr>
              <w:t>顾客满意</w:t>
            </w: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pStyle w:val="14"/>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105" w:leftChars="0" w:hanging="105" w:hangingChars="50"/>
              <w:rPr>
                <w:rFonts w:hint="eastAsia" w:ascii="宋体" w:hAnsi="宋体" w:eastAsia="宋体" w:cs="Times New Roman"/>
                <w:b/>
                <w:sz w:val="21"/>
                <w:szCs w:val="21"/>
                <w:lang w:eastAsia="zh-CN"/>
              </w:rPr>
            </w:pPr>
            <w:r>
              <w:rPr>
                <w:rFonts w:hint="eastAsia" w:ascii="宋体" w:hAnsi="宋体"/>
                <w:b/>
                <w:sz w:val="21"/>
                <w:szCs w:val="21"/>
              </w:rPr>
              <w:t>上次不符合的整改情况</w:t>
            </w:r>
            <w:r>
              <w:rPr>
                <w:rFonts w:hint="eastAsia" w:ascii="宋体" w:hAnsi="宋体" w:eastAsia="宋体" w:cs="Times New Roman"/>
                <w:b/>
                <w:sz w:val="21"/>
                <w:szCs w:val="21"/>
                <w:lang w:eastAsia="zh-CN"/>
              </w:rPr>
              <w:t>：</w:t>
            </w:r>
          </w:p>
          <w:p>
            <w:pPr>
              <w:widowControl/>
              <w:numPr>
                <w:ilvl w:val="0"/>
                <w:numId w:val="0"/>
              </w:numPr>
              <w:spacing w:line="240" w:lineRule="exact"/>
              <w:ind w:leftChars="-50"/>
              <w:rPr>
                <w:rFonts w:hint="eastAsia" w:ascii="宋体" w:hAnsi="宋体" w:eastAsia="宋体" w:cs="Times New Roman"/>
                <w:b/>
                <w:sz w:val="21"/>
                <w:szCs w:val="21"/>
              </w:rPr>
            </w:pPr>
            <w:r>
              <w:rPr>
                <w:rFonts w:hint="eastAsia" w:ascii="宋体" w:hAnsi="宋体" w:eastAsia="宋体" w:cs="Times New Roman"/>
                <w:b/>
                <w:sz w:val="21"/>
                <w:szCs w:val="21"/>
                <w:lang w:val="en-US" w:eastAsia="zh-CN"/>
              </w:rPr>
              <w:t>上次不符合情况：</w:t>
            </w:r>
            <w:r>
              <w:rPr>
                <w:rFonts w:hint="eastAsia" w:ascii="宋体" w:hAnsi="宋体" w:eastAsia="宋体" w:cs="Times New Roman"/>
                <w:b/>
                <w:sz w:val="21"/>
                <w:szCs w:val="21"/>
              </w:rPr>
              <w:t>（京汉大厦</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现场</w:t>
            </w:r>
            <w:r>
              <w:rPr>
                <w:rFonts w:hint="eastAsia" w:ascii="宋体" w:hAnsi="宋体" w:eastAsia="宋体" w:cs="Times New Roman"/>
                <w:b/>
                <w:sz w:val="21"/>
                <w:szCs w:val="21"/>
                <w:lang w:val="en-US" w:eastAsia="zh-CN"/>
              </w:rPr>
              <w:t>8层</w:t>
            </w:r>
            <w:r>
              <w:rPr>
                <w:rFonts w:hint="eastAsia" w:ascii="宋体" w:hAnsi="宋体" w:eastAsia="宋体" w:cs="Times New Roman"/>
                <w:b/>
                <w:sz w:val="21"/>
                <w:szCs w:val="21"/>
              </w:rPr>
              <w:t>，</w:t>
            </w:r>
          </w:p>
          <w:p>
            <w:pPr>
              <w:widowControl/>
              <w:spacing w:line="24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rPr>
              <w:t>卫生间洗手液用完，没有及时补充，不符合 。</w:t>
            </w:r>
            <w:r>
              <w:rPr>
                <w:rFonts w:hint="eastAsia" w:ascii="宋体" w:hAnsi="宋体" w:eastAsia="宋体" w:cs="Times New Roman"/>
                <w:b/>
                <w:sz w:val="21"/>
                <w:szCs w:val="21"/>
                <w:lang w:val="en-US" w:eastAsia="zh-CN"/>
              </w:rPr>
              <w:t>现场无此情况，整改有效</w:t>
            </w:r>
          </w:p>
          <w:p>
            <w:pPr>
              <w:spacing w:line="240" w:lineRule="exact"/>
              <w:rPr>
                <w:rFonts w:hint="eastAsia" w:ascii="宋体" w:hAnsi="宋体" w:eastAsia="宋体"/>
                <w:b/>
                <w:sz w:val="21"/>
                <w:szCs w:val="21"/>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乐生活智慧社区服务集团股份有限公司</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1617EE30"/>
    <w:multiLevelType w:val="singleLevel"/>
    <w:tmpl w:val="1617EE30"/>
    <w:lvl w:ilvl="0" w:tentative="0">
      <w:start w:val="2"/>
      <w:numFmt w:val="decimal"/>
      <w:suff w:val="nothing"/>
      <w:lvlText w:val="%1、"/>
      <w:lvlJc w:val="left"/>
    </w:lvl>
  </w:abstractNum>
  <w:abstractNum w:abstractNumId="2">
    <w:nsid w:val="316FE744"/>
    <w:multiLevelType w:val="singleLevel"/>
    <w:tmpl w:val="316FE744"/>
    <w:lvl w:ilvl="0" w:tentative="0">
      <w:start w:val="8"/>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32EECA8"/>
    <w:multiLevelType w:val="singleLevel"/>
    <w:tmpl w:val="532EECA8"/>
    <w:lvl w:ilvl="0" w:tentative="0">
      <w:start w:val="2"/>
      <w:numFmt w:val="decimal"/>
      <w:lvlText w:val="%1."/>
      <w:lvlJc w:val="left"/>
      <w:pPr>
        <w:tabs>
          <w:tab w:val="left" w:pos="312"/>
        </w:tabs>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50AF0"/>
    <w:rsid w:val="378375BD"/>
    <w:rsid w:val="7A162F23"/>
    <w:rsid w:val="7EA73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locked/>
    <w:uiPriority w:val="99"/>
    <w:rPr>
      <w:rFonts w:ascii="Times New Roman" w:hAnsi="Times New Roman" w:eastAsia="宋体" w:cs="Times New Roman"/>
      <w:sz w:val="18"/>
      <w:szCs w:val="18"/>
    </w:rPr>
  </w:style>
  <w:style w:type="character" w:customStyle="1" w:styleId="10">
    <w:name w:val="页眉 Char"/>
    <w:link w:val="2"/>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character" w:customStyle="1" w:styleId="15">
    <w:name w:val="info-content-text"/>
    <w:basedOn w:val="7"/>
    <w:qFormat/>
    <w:uiPriority w:val="0"/>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2021-01-20T14:34:14Z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