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color w:val="000000"/>
                <w:szCs w:val="21"/>
              </w:rPr>
              <w:t>乐生活智慧社区服务集团股份有限公司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b/>
                <w:sz w:val="20"/>
              </w:rPr>
            </w:pPr>
            <w:r>
              <w:rPr>
                <w:rFonts w:hint="eastAsia"/>
                <w:b/>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2"/>
            </w:pPr>
            <w:r>
              <w:rPr>
                <w:rFonts w:hint="eastAsia" w:ascii="宋体"/>
                <w:bCs w:val="0"/>
                <w:color w:val="000000"/>
                <w:spacing w:val="0"/>
                <w:sz w:val="20"/>
              </w:rPr>
              <w:t>清洁行业经营服务规范SB/T 10595-2011</w:t>
            </w:r>
          </w:p>
          <w:p>
            <w:pPr>
              <w:pStyle w:val="12"/>
            </w:pPr>
            <w:r>
              <w:t>建筑及居住区数字化技术应用 第3部分：物业管理</w:t>
            </w:r>
            <w:r>
              <w:tab/>
            </w:r>
            <w:r>
              <w:t>GB/T 20299.3-2006</w:t>
            </w:r>
          </w:p>
          <w:p>
            <w:pPr>
              <w:pStyle w:val="12"/>
            </w:pPr>
            <w:r>
              <w:t>社区服务指南 第9部分：物业服务</w:t>
            </w:r>
            <w:r>
              <w:tab/>
            </w:r>
            <w:r>
              <w:t>GB/T 20647.9-2006</w:t>
            </w:r>
          </w:p>
          <w:p>
            <w:pPr>
              <w:pStyle w:val="1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2"/>
              <w:rPr>
                <w:b/>
                <w:sz w:val="20"/>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xml:space="preserve">：  </w:t>
      </w:r>
      <w:r>
        <w:rPr>
          <w:rFonts w:hint="eastAsia"/>
          <w:b/>
          <w:sz w:val="18"/>
          <w:szCs w:val="18"/>
          <w:lang w:val="en-US" w:eastAsia="zh-CN"/>
        </w:rPr>
        <w:t>2021.1.16</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：李京田          </w:t>
      </w:r>
      <w:r>
        <w:rPr>
          <w:rFonts w:hint="eastAsia"/>
          <w:b/>
          <w:sz w:val="22"/>
          <w:szCs w:val="22"/>
        </w:rPr>
        <w:t>日期</w:t>
      </w:r>
      <w:r>
        <w:rPr>
          <w:rFonts w:hint="eastAsia"/>
          <w:b/>
          <w:sz w:val="18"/>
          <w:szCs w:val="18"/>
        </w:rPr>
        <w:t xml:space="preserve">：  </w:t>
      </w:r>
      <w:r>
        <w:rPr>
          <w:rFonts w:hint="eastAsia"/>
          <w:b/>
          <w:sz w:val="18"/>
          <w:szCs w:val="18"/>
          <w:lang w:val="en-US" w:eastAsia="zh-CN"/>
        </w:rPr>
        <w:t>2021.1.16</w:t>
      </w:r>
      <w:bookmarkStart w:id="6" w:name="_GoBack"/>
      <w:bookmarkEnd w:id="6"/>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 w:val="27F0248B"/>
    <w:rsid w:val="29DF1EFB"/>
    <w:rsid w:val="5C287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customStyle="1" w:styleId="8">
    <w:name w:val="页脚 字符"/>
    <w:link w:val="3"/>
    <w:locked/>
    <w:uiPriority w:val="99"/>
    <w:rPr>
      <w:rFonts w:ascii="Times New Roman" w:hAnsi="Times New Roman" w:eastAsia="宋体" w:cs="Times New Roman"/>
      <w:sz w:val="18"/>
      <w:szCs w:val="18"/>
    </w:rPr>
  </w:style>
  <w:style w:type="character" w:customStyle="1" w:styleId="9">
    <w:name w:val="页眉 字符"/>
    <w:link w:val="4"/>
    <w:locked/>
    <w:uiPriority w:val="99"/>
    <w:rPr>
      <w:rFonts w:ascii="Times New Roman" w:hAnsi="Times New Roman" w:eastAsia="宋体" w:cs="Times New Roman"/>
      <w:sz w:val="18"/>
      <w:szCs w:val="18"/>
    </w:rPr>
  </w:style>
  <w:style w:type="character" w:customStyle="1" w:styleId="10">
    <w:name w:val="批注框文本 字符"/>
    <w:link w:val="2"/>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262</Words>
  <Characters>1496</Characters>
  <Lines>12</Lines>
  <Paragraphs>3</Paragraphs>
  <TotalTime>0</TotalTime>
  <ScaleCrop>false</ScaleCrop>
  <LinksUpToDate>false</LinksUpToDate>
  <CharactersWithSpaces>1755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2021-01-16T02:12:34Z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