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四川纵恒建设工程有限公司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35.11.00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施工劳务分包服务流程：</w:t>
            </w: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服务需求</w:t>
            </w:r>
            <w:r>
              <w:rPr>
                <w:rFonts w:ascii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洽谈</w:t>
            </w:r>
            <w:r>
              <w:rPr>
                <w:rFonts w:ascii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签订协议</w:t>
            </w:r>
            <w:r>
              <w:rPr>
                <w:rFonts w:ascii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人员派遣</w:t>
            </w:r>
            <w:r>
              <w:rPr>
                <w:rFonts w:ascii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施工劳务</w:t>
            </w:r>
            <w:r>
              <w:rPr>
                <w:rFonts w:ascii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服务跟踪处理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混凝土浇筑、焊接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为关键过程。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固体废弃物的排放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潜在火灾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噪声的排放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废气排放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化学品泄露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szCs w:val="22"/>
              </w:rPr>
              <w:t>固</w:t>
            </w:r>
            <w:r>
              <w:rPr>
                <w:rFonts w:hint="eastAsia"/>
                <w:b/>
                <w:sz w:val="20"/>
              </w:rPr>
              <w:t>废分类收集由市政环卫定期清运处理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噪声排放采</w:t>
            </w:r>
            <w:r>
              <w:rPr>
                <w:rFonts w:hint="eastAsia"/>
                <w:b/>
                <w:sz w:val="20"/>
              </w:rPr>
              <w:t>取制定管理方案控制。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火灾、职业病（粉尘、噪声）；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意外伤害（</w:t>
            </w:r>
            <w:r>
              <w:rPr>
                <w:rFonts w:hint="eastAsia"/>
                <w:b/>
                <w:sz w:val="20"/>
                <w:szCs w:val="22"/>
              </w:rPr>
              <w:t>物体打击、高处坠落、机械伤害、灼烫中毒等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），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职业病、意外伤害等</w:t>
            </w:r>
            <w:r>
              <w:rPr>
                <w:rFonts w:hint="eastAsia"/>
                <w:b/>
                <w:sz w:val="20"/>
                <w:szCs w:val="22"/>
              </w:rPr>
              <w:t>采</w:t>
            </w:r>
            <w:r>
              <w:rPr>
                <w:rFonts w:hint="eastAsia"/>
                <w:b/>
                <w:sz w:val="20"/>
              </w:rPr>
              <w:t>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中华人民共和国劳动合同法、劳务派遣暂行规定、劳务外包及派遣用工管理办法、合同协议。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服务质量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进度</w:t>
            </w:r>
            <w:r>
              <w:rPr>
                <w:rFonts w:hint="eastAsia" w:ascii="宋体" w:hAnsi="宋体"/>
                <w:sz w:val="21"/>
                <w:szCs w:val="21"/>
              </w:rPr>
              <w:t>的监控、人员表现考评等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2856230</wp:posOffset>
                  </wp:positionH>
                  <wp:positionV relativeFrom="paragraph">
                    <wp:posOffset>492125</wp:posOffset>
                  </wp:positionV>
                  <wp:extent cx="392430" cy="400685"/>
                  <wp:effectExtent l="0" t="0" r="3810" b="10795"/>
                  <wp:wrapNone/>
                  <wp:docPr id="2" name="图片 2" descr="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文平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/>
                <w:b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405765</wp:posOffset>
                  </wp:positionV>
                  <wp:extent cx="437515" cy="446405"/>
                  <wp:effectExtent l="0" t="0" r="4445" b="10795"/>
                  <wp:wrapNone/>
                  <wp:docPr id="1" name="图片 1" descr="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文平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2021年1月13日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2021年1月13日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BC52DE"/>
    <w:rsid w:val="63A7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2021-01-11T15:31:11Z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