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b/>
          <w:color w:val="000000"/>
          <w:sz w:val="32"/>
          <w:szCs w:val="32"/>
          <w:u w:val="none"/>
        </w:rPr>
        <w:t>：</w:t>
      </w:r>
      <w:bookmarkStart w:id="0" w:name="组织名称"/>
      <w:r>
        <w:rPr>
          <w:rFonts w:ascii="楷体" w:hAnsi="楷体" w:eastAsia="楷体"/>
          <w:b/>
          <w:color w:val="000000" w:themeColor="text1"/>
          <w:sz w:val="32"/>
          <w:szCs w:val="32"/>
          <w:u w:val="none"/>
        </w:rPr>
        <w:t>宜宾市戎天机械厂</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宜宾市戎天机械厂</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12" w:name="企业人数"/>
            <w:r>
              <w:rPr>
                <w:rFonts w:ascii="宋体" w:hAnsi="宋体"/>
                <w:b/>
                <w:color w:val="000000" w:themeColor="text1"/>
                <w:sz w:val="20"/>
                <w:szCs w:val="20"/>
              </w:rPr>
              <w:t>16</w:t>
            </w:r>
            <w:bookmarkEnd w:id="12"/>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bookmarkStart w:id="31" w:name="_GoBack" w:colFirst="1" w:colLast="3"/>
            <w:bookmarkEnd w:id="31"/>
            <w:r>
              <w:rPr>
                <w:rFonts w:hint="eastAsia" w:ascii="宋体" w:hAnsi="宋体"/>
                <w:b/>
                <w:sz w:val="21"/>
                <w:szCs w:val="21"/>
              </w:rPr>
              <w:t>注册地址</w:t>
            </w:r>
          </w:p>
        </w:tc>
        <w:tc>
          <w:tcPr>
            <w:tcW w:w="4416" w:type="dxa"/>
            <w:gridSpan w:val="4"/>
          </w:tcPr>
          <w:p>
            <w:pPr>
              <w:rPr>
                <w:rFonts w:ascii="宋体"/>
                <w:b/>
                <w:color w:val="auto"/>
                <w:sz w:val="21"/>
              </w:rPr>
            </w:pPr>
            <w:bookmarkStart w:id="13" w:name="注册地址"/>
            <w:r>
              <w:rPr>
                <w:rFonts w:ascii="宋体"/>
                <w:b/>
                <w:color w:val="auto"/>
                <w:sz w:val="21"/>
              </w:rPr>
              <w:t>宜宾市翠屏区象鼻街道方水村</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644012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宜宾市翠屏区思坡镇会诗村</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644019</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宜宾市翠屏区思坡镇会诗村</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644019</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樊平</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13808292472</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樊平</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樊平</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何柏才</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2021年01月17日 上午至2021年01月17日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审核范围"/>
            <w:r>
              <w:rPr>
                <w:rFonts w:ascii="宋体" w:hAnsi="宋体"/>
                <w:b/>
                <w:color w:val="000000" w:themeColor="text1"/>
                <w:sz w:val="20"/>
                <w:szCs w:val="20"/>
              </w:rPr>
              <w:t>机械零部件的加工</w:t>
            </w:r>
            <w:bookmarkEnd w:id="26"/>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17.10.02</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Helvetica" w:hAnsi="Helvetica" w:eastAsia="Helvetica" w:cs="Helvetica"/>
                <w:i w:val="0"/>
                <w:caps w:val="0"/>
                <w:color w:val="000000"/>
                <w:spacing w:val="0"/>
                <w:sz w:val="21"/>
                <w:szCs w:val="21"/>
                <w:shd w:val="clear" w:fill="FFFFFF"/>
              </w:rPr>
              <w:t>2023-02-10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Helvetica" w:hAnsi="Helvetica" w:eastAsia="Helvetica" w:cs="Helvetica"/>
                <w:i w:val="0"/>
                <w:caps w:val="0"/>
                <w:color w:val="000000"/>
                <w:spacing w:val="0"/>
                <w:sz w:val="21"/>
                <w:szCs w:val="21"/>
                <w:shd w:val="clear" w:fill="FFFFFF"/>
              </w:rPr>
              <w:t>2019-12-30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2019年12月30日至2021年01月17日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(一)策划的充分与合理性</w:t>
            </w: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80" w:firstLineChars="200"/>
              <w:rPr>
                <w:b/>
                <w:color w:val="000000" w:themeColor="text1"/>
                <w:sz w:val="20"/>
                <w:szCs w:val="20"/>
                <w:highlight w:val="none"/>
              </w:rPr>
            </w:pPr>
            <w:r>
              <w:rPr>
                <w:rFonts w:hint="eastAsia" w:ascii="宋体" w:hAnsi="宋体"/>
                <w:color w:val="000000" w:themeColor="text1"/>
                <w:highlight w:val="none"/>
              </w:rPr>
              <w:t>组织对内外部因素、相关方需求和期望进行了充分的识别，策划和实施有效。组织确定了体系的边界，基本适用。管理体系</w:t>
            </w:r>
            <w:r>
              <w:rPr>
                <w:rFonts w:hint="eastAsia" w:ascii="宋体" w:hAnsi="宋体"/>
                <w:color w:val="000000" w:themeColor="text1"/>
                <w:highlight w:val="none"/>
                <w:lang w:val="en-US" w:eastAsia="zh-CN"/>
              </w:rPr>
              <w:t>8.3</w:t>
            </w:r>
            <w:r>
              <w:rPr>
                <w:rFonts w:hint="eastAsia" w:ascii="宋体" w:hAnsi="宋体"/>
                <w:color w:val="000000" w:themeColor="text1"/>
                <w:highlight w:val="none"/>
              </w:rPr>
              <w:t>条款</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适用</w:t>
            </w:r>
            <w:r>
              <w:rPr>
                <w:rFonts w:hint="eastAsia" w:ascii="华文楷体" w:hAnsi="华文楷体" w:eastAsia="华文楷体"/>
                <w:bCs/>
                <w:i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ind w:firstLine="480" w:firstLineChars="200"/>
              <w:rPr>
                <w:b/>
                <w:color w:val="000000" w:themeColor="text1"/>
                <w:sz w:val="20"/>
                <w:szCs w:val="20"/>
                <w:highlight w:val="none"/>
              </w:rPr>
            </w:pPr>
            <w:r>
              <w:rPr>
                <w:rFonts w:hint="eastAsia" w:ascii="宋体" w:hAnsi="宋体" w:cs="宋体"/>
                <w:color w:val="000000"/>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numPr>
                <w:ilvl w:val="0"/>
                <w:numId w:val="1"/>
              </w:numPr>
              <w:spacing w:line="280" w:lineRule="exact"/>
              <w:rPr>
                <w:rFonts w:hint="eastAsia" w:ascii="宋体" w:hAnsi="宋体"/>
                <w:b/>
                <w:color w:val="000000" w:themeColor="text1"/>
                <w:sz w:val="20"/>
                <w:szCs w:val="20"/>
                <w:highlight w:val="none"/>
              </w:rPr>
            </w:pPr>
            <w:r>
              <w:rPr>
                <w:rFonts w:hint="eastAsia" w:ascii="宋体" w:hAnsi="宋体"/>
                <w:highlight w:val="none"/>
                <w:lang w:eastAsia="zh-CN"/>
              </w:rPr>
              <w:t>☑</w:t>
            </w:r>
            <w:r>
              <w:rPr>
                <w:rFonts w:hint="eastAsia" w:ascii="宋体" w:hAnsi="宋体"/>
                <w:highlight w:val="none"/>
              </w:rPr>
              <w:t xml:space="preserve"> </w:t>
            </w:r>
            <w:r>
              <w:rPr>
                <w:rFonts w:hint="eastAsia" w:ascii="宋体" w:hAnsi="宋体"/>
                <w:b/>
                <w:color w:val="000000" w:themeColor="text1"/>
                <w:sz w:val="20"/>
                <w:szCs w:val="20"/>
                <w:highlight w:val="none"/>
              </w:rPr>
              <w:t>质量/</w:t>
            </w:r>
            <w:r>
              <w:rPr>
                <w:rFonts w:hint="eastAsia" w:ascii="宋体" w:hAnsi="宋体"/>
                <w:highlight w:val="none"/>
              </w:rPr>
              <w:t xml:space="preserve">□ </w:t>
            </w:r>
            <w:r>
              <w:rPr>
                <w:rFonts w:hint="eastAsia" w:ascii="宋体" w:hAnsi="宋体"/>
                <w:b/>
                <w:color w:val="000000" w:themeColor="text1"/>
                <w:sz w:val="20"/>
                <w:szCs w:val="20"/>
                <w:highlight w:val="none"/>
              </w:rPr>
              <w:t>环境/</w:t>
            </w:r>
            <w:r>
              <w:rPr>
                <w:rFonts w:hint="eastAsia" w:ascii="宋体" w:hAnsi="宋体"/>
                <w:highlight w:val="none"/>
              </w:rPr>
              <w:t xml:space="preserve">□ </w:t>
            </w:r>
            <w:r>
              <w:rPr>
                <w:rFonts w:hint="eastAsia" w:ascii="宋体" w:hAnsi="宋体"/>
                <w:b/>
                <w:color w:val="000000" w:themeColor="text1"/>
                <w:sz w:val="20"/>
                <w:szCs w:val="20"/>
                <w:highlight w:val="none"/>
              </w:rPr>
              <w:t>职业健康安全方针（组织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numPr>
                <w:ilvl w:val="0"/>
                <w:numId w:val="0"/>
              </w:numPr>
              <w:spacing w:line="280" w:lineRule="exact"/>
              <w:ind w:firstLine="240" w:firstLineChars="100"/>
              <w:rPr>
                <w:rFonts w:hint="eastAsia" w:eastAsia="宋体"/>
                <w:b/>
                <w:color w:val="000000" w:themeColor="text1"/>
                <w:highlight w:val="none"/>
                <w:lang w:val="en-US" w:eastAsia="zh-CN"/>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highlight w:val="none"/>
                <w:lang w:eastAsia="zh-CN"/>
              </w:rPr>
              <w:t xml:space="preserve"> </w:t>
            </w:r>
            <w:r>
              <w:rPr>
                <w:rFonts w:hint="eastAsia" w:ascii="宋体" w:hAnsi="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highlight w:val="none"/>
              </w:rPr>
            </w:pPr>
            <w:r>
              <w:rPr>
                <w:b/>
                <w:color w:val="000000" w:themeColor="text1"/>
                <w:highlight w:val="none"/>
              </w:rPr>
              <w:t>4、</w:t>
            </w:r>
            <w:r>
              <w:rPr>
                <w:rFonts w:hint="eastAsia"/>
                <w:b/>
                <w:color w:val="000000" w:themeColor="text1"/>
                <w:highlight w:val="none"/>
              </w:rPr>
              <w:t>风险识别与控制策划（QMS）</w:t>
            </w:r>
          </w:p>
          <w:p>
            <w:pPr>
              <w:spacing w:line="240" w:lineRule="exact"/>
              <w:ind w:firstLine="240" w:firstLineChars="100"/>
              <w:rPr>
                <w:rFonts w:ascii="宋体" w:hAnsi="宋体"/>
                <w:color w:val="000000" w:themeColor="text1"/>
                <w:highlight w:val="none"/>
              </w:rPr>
            </w:pPr>
            <w:r>
              <w:rPr>
                <w:rFonts w:hint="eastAsia" w:ascii="宋体" w:hAnsi="宋体"/>
                <w:color w:val="000000" w:themeColor="text1"/>
                <w:highlight w:val="none"/>
              </w:rPr>
              <w:t>制定并实施了相关程序和安全生产管理制度</w:t>
            </w:r>
            <w:r>
              <w:rPr>
                <w:rFonts w:ascii="宋体" w:hAnsi="宋体"/>
                <w:color w:val="000000" w:themeColor="text1"/>
                <w:highlight w:val="none"/>
              </w:rPr>
              <w:t>，</w:t>
            </w:r>
            <w:r>
              <w:rPr>
                <w:rFonts w:hint="eastAsia" w:ascii="宋体" w:hAnsi="宋体"/>
                <w:color w:val="000000" w:themeColor="text1"/>
                <w:highlight w:val="none"/>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spacing w:line="0" w:lineRule="atLeast"/>
              <w:jc w:val="left"/>
              <w:rPr>
                <w:rFonts w:hint="eastAsia" w:ascii="宋体" w:hAnsi="宋体"/>
                <w:szCs w:val="21"/>
                <w:highlight w:val="none"/>
              </w:rPr>
            </w:pPr>
            <w:r>
              <w:rPr>
                <w:rFonts w:hint="eastAsia" w:ascii="宋体" w:hAnsi="宋体"/>
                <w:b/>
                <w:color w:val="000000" w:themeColor="text1"/>
                <w:sz w:val="20"/>
                <w:szCs w:val="20"/>
                <w:highlight w:val="none"/>
              </w:rPr>
              <w:t>质量管理体系过程有：</w:t>
            </w:r>
            <w:r>
              <w:rPr>
                <w:rFonts w:hint="eastAsia" w:ascii="宋体" w:hAnsi="宋体"/>
                <w:szCs w:val="21"/>
                <w:highlight w:val="none"/>
              </w:rPr>
              <w:t xml:space="preserve">机械零部件的加工 </w:t>
            </w:r>
          </w:p>
          <w:p>
            <w:pPr>
              <w:tabs>
                <w:tab w:val="left" w:pos="540"/>
              </w:tabs>
              <w:spacing w:line="300" w:lineRule="exact"/>
              <w:rPr>
                <w:rFonts w:hint="eastAsia" w:ascii="宋体" w:hAnsi="宋体" w:eastAsia="宋体"/>
                <w:b/>
                <w:color w:val="000000" w:themeColor="text1"/>
                <w:sz w:val="20"/>
                <w:szCs w:val="20"/>
                <w:highlight w:val="none"/>
                <w:u w:val="single"/>
                <w:lang w:eastAsia="zh-CN"/>
              </w:rPr>
            </w:pPr>
            <w:r>
              <w:rPr>
                <w:rFonts w:hint="eastAsia" w:ascii="宋体" w:hAnsi="宋体"/>
                <w:b/>
                <w:color w:val="000000" w:themeColor="text1"/>
                <w:sz w:val="20"/>
                <w:szCs w:val="20"/>
                <w:highlight w:val="none"/>
              </w:rPr>
              <w:t>其中关键过程有：</w:t>
            </w:r>
            <w:r>
              <w:rPr>
                <w:rFonts w:hint="eastAsia" w:ascii="宋体" w:hAnsi="宋体" w:cs="Times New Roman"/>
                <w:szCs w:val="21"/>
                <w:highlight w:val="none"/>
                <w:lang w:val="en-US" w:eastAsia="zh-CN"/>
              </w:rPr>
              <w:t>数控机加工过程</w:t>
            </w:r>
          </w:p>
          <w:p>
            <w:pPr>
              <w:tabs>
                <w:tab w:val="left" w:pos="540"/>
              </w:tabs>
              <w:spacing w:line="300" w:lineRule="exact"/>
              <w:ind w:left="201" w:hanging="201" w:hangingChars="100"/>
              <w:rPr>
                <w:rFonts w:hint="eastAsia"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sz w:val="24"/>
                <w:szCs w:val="22"/>
                <w:highlight w:val="none"/>
                <w:lang w:val="en-US" w:eastAsia="zh-CN"/>
              </w:rPr>
              <w:t>无</w:t>
            </w:r>
          </w:p>
          <w:p>
            <w:pPr>
              <w:tabs>
                <w:tab w:val="left" w:pos="540"/>
              </w:tabs>
              <w:spacing w:line="300" w:lineRule="exact"/>
              <w:ind w:left="201" w:hanging="201" w:hangingChars="100"/>
              <w:rPr>
                <w:rFonts w:ascii="宋体" w:hAnsi="宋体"/>
                <w:b/>
                <w:color w:val="000000" w:themeColor="text1"/>
                <w:szCs w:val="21"/>
                <w:highlight w:val="none"/>
              </w:rPr>
            </w:pP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7462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color w:val="000000"/>
                <w:szCs w:val="21"/>
                <w:highlight w:val="none"/>
                <w:lang w:val="en-US" w:eastAsia="zh-CN"/>
              </w:rPr>
              <w:t>公司</w:t>
            </w:r>
            <w:r>
              <w:rPr>
                <w:rFonts w:hint="eastAsia" w:ascii="宋体" w:hAnsi="宋体"/>
                <w:szCs w:val="21"/>
                <w:highlight w:val="none"/>
                <w:lang w:val="en-US" w:eastAsia="zh-CN"/>
              </w:rPr>
              <w:t>机械零部件的机加工</w:t>
            </w:r>
            <w:r>
              <w:rPr>
                <w:rFonts w:hint="eastAsia" w:ascii="宋体" w:hAnsi="宋体" w:cs="Times New Roman"/>
                <w:color w:val="000000"/>
                <w:szCs w:val="21"/>
                <w:highlight w:val="none"/>
                <w:lang w:val="en-US" w:eastAsia="zh-CN"/>
              </w:rPr>
              <w:t>依据客户图纸要求、国家技术标准生产。生产工艺成熟，模式固定</w:t>
            </w:r>
            <w:r>
              <w:rPr>
                <w:rFonts w:hint="eastAsia" w:ascii="宋体" w:hAnsi="宋体"/>
                <w:szCs w:val="21"/>
                <w:highlight w:val="none"/>
                <w:lang w:val="en-US" w:eastAsia="zh-CN"/>
              </w:rPr>
              <w:t xml:space="preserve">,因此标准8.3条款“产品和服务的设计和开发”要求不适用。不适用理由合理。            </w:t>
            </w:r>
            <w:r>
              <w:rPr>
                <w:rFonts w:hint="eastAsia" w:ascii="宋体" w:hAnsi="宋体"/>
                <w:b/>
                <w:color w:val="000000" w:themeColor="text1"/>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r>
              <w:rPr>
                <w:rFonts w:ascii="宋体" w:hAnsi="宋体"/>
                <w:b/>
                <w:color w:val="000000" w:themeColor="text1"/>
                <w:spacing w:val="-12"/>
                <w:sz w:val="20"/>
                <w:szCs w:val="20"/>
                <w:highlight w:val="none"/>
              </w:rPr>
              <w:t xml:space="preserve"> </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highlight w:val="none"/>
                <w:lang w:val="en-US" w:eastAsia="zh-CN"/>
              </w:rPr>
            </w:pPr>
            <w:r>
              <w:rPr>
                <w:rFonts w:hint="eastAsia" w:asciiTheme="minorEastAsia" w:hAnsiTheme="minorEastAsia" w:eastAsiaTheme="minor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pacing w:val="-10"/>
                <w:sz w:val="20"/>
                <w:szCs w:val="20"/>
                <w:highlight w:val="none"/>
              </w:rPr>
              <w:t xml:space="preserve">7. </w:t>
            </w:r>
            <w:r>
              <w:rPr>
                <w:b/>
                <w:color w:val="000000" w:themeColor="text1"/>
                <w:spacing w:val="-12"/>
                <w:sz w:val="20"/>
                <w:szCs w:val="20"/>
                <w:highlight w:val="none"/>
              </w:rPr>
              <w:t>OHSMS</w:t>
            </w:r>
            <w:r>
              <w:rPr>
                <w:rFonts w:hint="eastAsia" w:ascii="宋体" w:hAnsi="宋体"/>
                <w:b/>
                <w:color w:val="000000" w:themeColor="text1"/>
                <w:spacing w:val="-12"/>
                <w:sz w:val="20"/>
                <w:szCs w:val="20"/>
                <w:highlight w:val="none"/>
              </w:rPr>
              <w:t>职业健康安全危险源</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职业健康安全危险源</w:t>
            </w:r>
            <w:r>
              <w:rPr>
                <w:rFonts w:hint="eastAsia" w:ascii="宋体" w:hAnsi="宋体"/>
                <w:b/>
                <w:color w:val="000000" w:themeColor="text1"/>
                <w:sz w:val="20"/>
                <w:szCs w:val="20"/>
                <w:highlight w:val="none"/>
              </w:rPr>
              <w:t>辨识是否充分、风险评价合理性，</w:t>
            </w:r>
            <w:r>
              <w:rPr>
                <w:rFonts w:hint="eastAsia" w:ascii="宋体" w:hAnsi="宋体"/>
                <w:b/>
                <w:color w:val="000000" w:themeColor="text1"/>
                <w:spacing w:val="-8"/>
                <w:sz w:val="20"/>
                <w:szCs w:val="20"/>
                <w:highlight w:val="none"/>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highlight w:val="none"/>
                <w:lang w:val="en-US" w:eastAsia="zh-CN"/>
              </w:rPr>
            </w:pPr>
            <w:r>
              <w:rPr>
                <w:rFonts w:hint="eastAsia" w:ascii="宋体" w:hAnsi="宋体"/>
                <w:b/>
                <w:color w:val="000000" w:themeColor="text1"/>
                <w:spacing w:val="-8"/>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tabs>
                <w:tab w:val="left" w:pos="540"/>
              </w:tabs>
              <w:spacing w:line="300" w:lineRule="exact"/>
              <w:rPr>
                <w:rFonts w:ascii="宋体" w:hAnsi="宋体"/>
                <w:b/>
                <w:color w:val="000000" w:themeColor="text1"/>
                <w:szCs w:val="21"/>
                <w:highlight w:val="none"/>
              </w:rPr>
            </w:pPr>
            <w:r>
              <w:rPr>
                <w:rFonts w:hint="eastAsia"/>
                <w:b/>
                <w:color w:val="000000" w:themeColor="text1"/>
                <w:szCs w:val="21"/>
                <w:highlight w:val="none"/>
              </w:rPr>
              <w:t xml:space="preserve">8. </w:t>
            </w:r>
            <w:r>
              <w:rPr>
                <w:rFonts w:hint="eastAsia" w:ascii="宋体" w:hAnsi="宋体"/>
                <w:b/>
                <w:color w:val="000000" w:themeColor="text1"/>
                <w:spacing w:val="-4"/>
                <w:szCs w:val="21"/>
                <w:highlight w:val="none"/>
              </w:rPr>
              <w:t>法律法规及其他要求</w:t>
            </w:r>
          </w:p>
          <w:p>
            <w:pPr>
              <w:numPr>
                <w:ilvl w:val="0"/>
                <w:numId w:val="2"/>
              </w:numPr>
              <w:tabs>
                <w:tab w:val="left" w:pos="540"/>
              </w:tabs>
              <w:spacing w:line="300" w:lineRule="exact"/>
              <w:rPr>
                <w:rFonts w:hint="eastAsia" w:ascii="宋体" w:hAnsi="宋体"/>
                <w:b/>
                <w:color w:val="000000" w:themeColor="text1"/>
                <w:szCs w:val="21"/>
                <w:highlight w:val="none"/>
              </w:rPr>
            </w:pPr>
            <w:r>
              <w:rPr>
                <w:rFonts w:hint="eastAsia" w:ascii="宋体" w:hAnsi="宋体"/>
                <w:b/>
                <w:color w:val="000000" w:themeColor="text1"/>
                <w:szCs w:val="21"/>
                <w:highlight w:val="none"/>
              </w:rPr>
              <w:t>获取法律法规项，</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法律法规获取充分，□法律法规获取有遗漏，缺少</w:t>
            </w:r>
          </w:p>
          <w:p>
            <w:pPr>
              <w:pStyle w:val="13"/>
              <w:numPr>
                <w:ilvl w:val="0"/>
                <w:numId w:val="0"/>
              </w:numPr>
              <w:tabs>
                <w:tab w:val="left" w:pos="540"/>
              </w:tabs>
              <w:spacing w:line="300" w:lineRule="exact"/>
              <w:ind w:leftChars="0"/>
              <w:rPr>
                <w:rFonts w:ascii="宋体" w:hAnsi="宋体"/>
                <w:b/>
                <w:color w:val="000000" w:themeColor="text1"/>
                <w:szCs w:val="21"/>
                <w:highlight w:val="none"/>
              </w:rPr>
            </w:pP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lang w:val="en-US" w:eastAsia="zh-CN"/>
              </w:rPr>
              <w:t>2</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结合公司的</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产品/服务□环境因素□危险源，</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确定 □未确定法律法规要求的具体条款，</w:t>
            </w:r>
          </w:p>
          <w:p>
            <w:pPr>
              <w:pStyle w:val="13"/>
              <w:numPr>
                <w:ilvl w:val="0"/>
                <w:numId w:val="0"/>
              </w:numPr>
              <w:tabs>
                <w:tab w:val="left" w:pos="540"/>
              </w:tabs>
              <w:spacing w:line="300" w:lineRule="exact"/>
              <w:ind w:leftChars="0"/>
              <w:rPr>
                <w:rFonts w:hint="eastAsia" w:ascii="宋体" w:hAnsi="宋体"/>
                <w:b/>
                <w:color w:val="000000" w:themeColor="text1"/>
                <w:szCs w:val="21"/>
                <w:highlight w:val="none"/>
              </w:rPr>
            </w:pP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lang w:val="en-US" w:eastAsia="zh-CN"/>
              </w:rPr>
              <w:t>3</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法律法规的宣传方式：培训、会议、张贴。</w:t>
            </w:r>
          </w:p>
          <w:p>
            <w:pPr>
              <w:pStyle w:val="13"/>
              <w:numPr>
                <w:ilvl w:val="0"/>
                <w:numId w:val="0"/>
              </w:numPr>
              <w:tabs>
                <w:tab w:val="left" w:pos="540"/>
              </w:tabs>
              <w:spacing w:line="300" w:lineRule="exact"/>
              <w:ind w:leftChars="0"/>
              <w:rPr>
                <w:rFonts w:ascii="宋体" w:hAnsi="宋体"/>
                <w:b/>
                <w:color w:val="000000" w:themeColor="text1"/>
                <w:szCs w:val="21"/>
                <w:highlight w:val="none"/>
              </w:rPr>
            </w:pP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lang w:val="en-US" w:eastAsia="zh-CN"/>
              </w:rPr>
              <w:t>4</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法律法规要求及时更新了</w:t>
            </w:r>
          </w:p>
          <w:p>
            <w:pPr>
              <w:tabs>
                <w:tab w:val="left" w:pos="0"/>
              </w:tabs>
              <w:spacing w:line="240" w:lineRule="exact"/>
              <w:rPr>
                <w:b/>
                <w:color w:val="000000" w:themeColor="text1"/>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spacing w:line="300" w:lineRule="exact"/>
              <w:ind w:firstLine="48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rPr>
              <w:t>质量目标</w:t>
            </w:r>
            <w:r>
              <w:rPr>
                <w:rFonts w:hint="eastAsia" w:ascii="宋体" w:hAnsi="宋体" w:cs="宋体"/>
                <w:color w:val="000000"/>
                <w:kern w:val="0"/>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1. 产品一次合格率达95%以上；</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2. </w:t>
            </w:r>
            <w:r>
              <w:rPr>
                <w:rFonts w:hint="eastAsia" w:ascii="宋体" w:hAnsi="宋体"/>
                <w:sz w:val="21"/>
                <w:szCs w:val="21"/>
                <w:highlight w:val="none"/>
              </w:rPr>
              <w:t>产品出厂合格率</w:t>
            </w:r>
            <w:r>
              <w:rPr>
                <w:rFonts w:hint="eastAsia" w:ascii="宋体" w:hAnsi="宋体"/>
                <w:sz w:val="21"/>
                <w:szCs w:val="21"/>
                <w:highlight w:val="none"/>
                <w:lang w:val="en-US" w:eastAsia="zh-CN"/>
              </w:rPr>
              <w:t>达到</w:t>
            </w:r>
            <w:r>
              <w:rPr>
                <w:rFonts w:hint="eastAsia" w:ascii="宋体" w:hAnsi="宋体"/>
                <w:sz w:val="21"/>
                <w:szCs w:val="21"/>
                <w:highlight w:val="none"/>
              </w:rPr>
              <w:t>100%</w:t>
            </w:r>
            <w:r>
              <w:rPr>
                <w:rFonts w:hint="eastAsia" w:ascii="宋体" w:hAnsi="宋体"/>
                <w:sz w:val="21"/>
                <w:szCs w:val="21"/>
                <w:highlight w:val="none"/>
                <w:lang w:val="en-US" w:eastAsia="zh-CN"/>
              </w:rPr>
              <w:t>；</w:t>
            </w:r>
          </w:p>
          <w:p>
            <w:pPr>
              <w:spacing w:line="360" w:lineRule="auto"/>
              <w:jc w:val="left"/>
              <w:rPr>
                <w:rFonts w:ascii="宋体" w:hAnsi="宋体"/>
                <w:b/>
                <w:color w:val="000000" w:themeColor="text1"/>
                <w:highlight w:val="none"/>
              </w:rPr>
            </w:pPr>
            <w:r>
              <w:rPr>
                <w:rFonts w:hint="eastAsia" w:ascii="宋体" w:hAnsi="宋体"/>
                <w:sz w:val="21"/>
                <w:szCs w:val="21"/>
                <w:highlight w:val="none"/>
                <w:lang w:val="en-US" w:eastAsia="zh-CN"/>
              </w:rPr>
              <w:t>3. 顾客满意率达90%以上。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80" w:firstLineChars="200"/>
              <w:rPr>
                <w:rFonts w:ascii="宋体" w:hAnsi="宋体"/>
                <w:b/>
                <w:color w:val="000000" w:themeColor="text1"/>
                <w:sz w:val="20"/>
                <w:szCs w:val="20"/>
                <w:highlight w:val="none"/>
              </w:rPr>
            </w:pPr>
            <w:r>
              <w:rPr>
                <w:rFonts w:hint="eastAsia" w:ascii="宋体" w:hAnsi="宋体" w:cs="宋体"/>
                <w:color w:val="000000" w:themeColor="text1"/>
                <w:highlight w:val="none"/>
              </w:rPr>
              <w:t>公司按照申请认证的标准要求，建立并形成了文件化的</w:t>
            </w:r>
            <w:r>
              <w:rPr>
                <w:rFonts w:hint="eastAsia" w:ascii="宋体" w:hAnsi="宋体"/>
                <w:color w:val="000000" w:themeColor="text1"/>
                <w:highlight w:val="none"/>
                <w:lang w:eastAsia="zh-CN"/>
              </w:rPr>
              <w:t>质量管理</w:t>
            </w:r>
            <w:r>
              <w:rPr>
                <w:rFonts w:hint="eastAsia" w:ascii="宋体" w:hAnsi="宋体" w:cs="宋体"/>
                <w:color w:val="000000" w:themeColor="text1"/>
                <w:highlight w:val="none"/>
              </w:rPr>
              <w:t>体系</w:t>
            </w:r>
            <w:r>
              <w:rPr>
                <w:rFonts w:hint="eastAsia" w:ascii="宋体" w:hAnsi="宋体" w:cs="宋体"/>
                <w:color w:val="000000" w:themeColor="text1"/>
                <w:highlight w:val="none"/>
                <w:lang w:eastAsia="zh-CN"/>
              </w:rPr>
              <w:t>文件</w:t>
            </w:r>
            <w:r>
              <w:rPr>
                <w:rFonts w:hint="eastAsia" w:ascii="宋体" w:hAnsi="宋体" w:cs="宋体"/>
                <w:color w:val="000000" w:themeColor="text1"/>
                <w:highlight w:val="none"/>
              </w:rPr>
              <w:t>，体系文件对管理体系各过程进行了识别确定、明确了各要素间的相互关系及其管控要求。公司体系文件于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19</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7</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20</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b/>
                <w:color w:val="000000" w:themeColor="text1"/>
                <w:szCs w:val="21"/>
                <w:highlight w:val="none"/>
              </w:rPr>
              <w:br w:type="page"/>
            </w:r>
            <w:r>
              <w:rPr>
                <w:rFonts w:hint="eastAsia" w:ascii="宋体" w:hAnsi="宋体"/>
                <w:b/>
                <w:color w:val="000000" w:themeColor="text1"/>
                <w:szCs w:val="21"/>
                <w:highlight w:val="none"/>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tabs>
                <w:tab w:val="left" w:pos="2552"/>
              </w:tabs>
              <w:spacing w:line="0" w:lineRule="atLeast"/>
              <w:ind w:firstLine="480" w:firstLineChars="200"/>
              <w:rPr>
                <w:rFonts w:ascii="宋体" w:hAnsi="宋体"/>
                <w:bCs/>
                <w:iCs/>
                <w:szCs w:val="22"/>
                <w:highlight w:val="none"/>
              </w:rPr>
            </w:pPr>
            <w:r>
              <w:rPr>
                <w:rFonts w:hint="eastAsia" w:ascii="宋体" w:hAnsi="宋体"/>
                <w:bCs/>
                <w:iCs/>
                <w:highlight w:val="none"/>
              </w:rPr>
              <w:t>组</w:t>
            </w:r>
            <w:r>
              <w:rPr>
                <w:rFonts w:hint="eastAsia" w:ascii="宋体" w:hAnsi="宋体"/>
                <w:bCs/>
                <w:iCs/>
                <w:szCs w:val="22"/>
                <w:highlight w:val="none"/>
              </w:rPr>
              <w:t>织按管理体系需求配置了充足的人员、设施、监视和测量设备等资源，并建立维持了</w:t>
            </w:r>
            <w:r>
              <w:rPr>
                <w:rFonts w:hint="eastAsia" w:ascii="宋体" w:hAnsi="宋体"/>
                <w:szCs w:val="21"/>
                <w:highlight w:val="none"/>
                <w:lang w:eastAsia="zh-CN"/>
              </w:rPr>
              <w:t>产品</w:t>
            </w:r>
            <w:r>
              <w:rPr>
                <w:rFonts w:hint="eastAsia" w:ascii="宋体" w:hAnsi="宋体"/>
                <w:szCs w:val="21"/>
                <w:highlight w:val="none"/>
              </w:rPr>
              <w:t>的生产</w:t>
            </w:r>
            <w:r>
              <w:rPr>
                <w:rFonts w:hint="eastAsia" w:ascii="宋体" w:hAnsi="宋体"/>
                <w:bCs/>
                <w:iCs/>
                <w:szCs w:val="22"/>
                <w:highlight w:val="none"/>
              </w:rPr>
              <w:t>及相关服务运行环境，可以维持管理体系的正常运行。</w:t>
            </w:r>
          </w:p>
          <w:p>
            <w:pPr>
              <w:spacing w:line="300" w:lineRule="exact"/>
              <w:rPr>
                <w:rFonts w:ascii="宋体" w:hAnsi="宋体"/>
                <w:b/>
                <w:color w:val="000000" w:themeColor="text1"/>
                <w:sz w:val="20"/>
                <w:szCs w:val="20"/>
                <w:highlight w:val="none"/>
              </w:rPr>
            </w:pPr>
            <w:r>
              <w:rPr>
                <w:rFonts w:hint="eastAsia" w:ascii="宋体" w:hAnsi="宋体"/>
                <w:bCs/>
                <w:iCs/>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rPr>
                <w:rFonts w:ascii="宋体" w:hAnsi="宋体"/>
                <w:b/>
                <w:color w:val="000000" w:themeColor="text1"/>
                <w:sz w:val="20"/>
                <w:szCs w:val="20"/>
                <w:highlight w:val="none"/>
              </w:rPr>
            </w:pPr>
            <w:r>
              <w:rPr>
                <w:rFonts w:hint="eastAsia" w:ascii="宋体" w:hAnsi="宋体"/>
                <w:bCs/>
                <w:iCs/>
                <w:highlight w:val="none"/>
              </w:rPr>
              <w:t>厂房</w:t>
            </w:r>
            <w:r>
              <w:rPr>
                <w:rFonts w:hint="eastAsia" w:ascii="宋体" w:hAnsi="宋体"/>
                <w:szCs w:val="21"/>
                <w:highlight w:val="none"/>
              </w:rPr>
              <w:t>面积</w:t>
            </w:r>
            <w:r>
              <w:rPr>
                <w:rFonts w:hint="eastAsia" w:ascii="宋体" w:hAnsi="宋体"/>
                <w:szCs w:val="21"/>
                <w:highlight w:val="none"/>
                <w:lang w:val="en-US" w:eastAsia="zh-CN"/>
              </w:rPr>
              <w:t>4</w:t>
            </w:r>
            <w:r>
              <w:rPr>
                <w:rFonts w:hint="eastAsia" w:ascii="宋体" w:hAnsi="宋体"/>
                <w:szCs w:val="21"/>
                <w:highlight w:val="none"/>
              </w:rPr>
              <w:t>00平方米左</w:t>
            </w:r>
            <w:r>
              <w:rPr>
                <w:rFonts w:hint="eastAsia" w:ascii="宋体" w:hAnsi="宋体"/>
                <w:bCs/>
                <w:iCs/>
                <w:szCs w:val="22"/>
                <w:highlight w:val="none"/>
              </w:rPr>
              <w:t>右，车间、库房分开，办公场所面积</w:t>
            </w:r>
            <w:r>
              <w:rPr>
                <w:rFonts w:hint="eastAsia" w:ascii="宋体" w:hAnsi="宋体"/>
                <w:bCs/>
                <w:iCs/>
                <w:szCs w:val="22"/>
                <w:highlight w:val="none"/>
                <w:lang w:val="en-US" w:eastAsia="zh-CN"/>
              </w:rPr>
              <w:t>4</w:t>
            </w:r>
            <w:r>
              <w:rPr>
                <w:rFonts w:hint="eastAsia" w:ascii="宋体" w:hAnsi="宋体"/>
                <w:bCs/>
                <w:iCs/>
                <w:szCs w:val="22"/>
                <w:highlight w:val="none"/>
              </w:rPr>
              <w:t>0平方米.主要生产设备包括</w:t>
            </w:r>
            <w:r>
              <w:rPr>
                <w:rFonts w:hint="eastAsia" w:ascii="宋体" w:hAnsi="宋体"/>
                <w:bCs/>
                <w:iCs/>
                <w:szCs w:val="22"/>
                <w:highlight w:val="none"/>
                <w:lang w:eastAsia="zh-CN"/>
              </w:rPr>
              <w:t>：</w:t>
            </w:r>
            <w:r>
              <w:rPr>
                <w:rFonts w:hint="eastAsia" w:ascii="宋体" w:hAnsi="宋体"/>
                <w:bCs/>
                <w:iCs/>
                <w:szCs w:val="22"/>
                <w:highlight w:val="none"/>
                <w:lang w:val="en-US" w:eastAsia="zh-CN"/>
              </w:rPr>
              <w:t>数控车床、数控铣床、普通车床、磨床、钻床、锯床等。</w:t>
            </w:r>
            <w:r>
              <w:rPr>
                <w:rFonts w:hint="eastAsia" w:ascii="宋体" w:hAnsi="宋体"/>
                <w:bCs/>
                <w:iCs/>
                <w:szCs w:val="22"/>
                <w:highlight w:val="none"/>
                <w:lang w:eastAsia="zh-CN"/>
              </w:rPr>
              <w:t>可以</w:t>
            </w:r>
            <w:r>
              <w:rPr>
                <w:rFonts w:hint="eastAsia" w:ascii="宋体" w:hAnsi="宋体"/>
                <w:bCs/>
                <w:iCs/>
                <w:szCs w:val="22"/>
                <w:highlight w:val="none"/>
              </w:rPr>
              <w:t>满足生产需要。对设备按月方式进行点检维护保养</w:t>
            </w:r>
            <w:r>
              <w:rPr>
                <w:rFonts w:hint="eastAsia" w:ascii="宋体" w:hAnsi="宋体" w:cs="Times New Roman"/>
                <w:bCs/>
                <w:iCs/>
                <w:highlight w:val="none"/>
              </w:rPr>
              <w:t>，并实</w:t>
            </w:r>
            <w:r>
              <w:rPr>
                <w:rFonts w:hint="eastAsia" w:ascii="宋体" w:hAnsi="宋体"/>
                <w:bCs/>
                <w:iCs/>
                <w:highlight w:val="none"/>
              </w:rPr>
              <w:t>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80" w:firstLineChars="200"/>
              <w:rPr>
                <w:rFonts w:ascii="宋体" w:hAnsi="宋体"/>
                <w:b/>
                <w:color w:val="000000" w:themeColor="text1"/>
                <w:sz w:val="20"/>
                <w:szCs w:val="20"/>
                <w:highlight w:val="none"/>
              </w:rPr>
            </w:pPr>
            <w:r>
              <w:rPr>
                <w:rFonts w:hint="eastAsia" w:ascii="宋体" w:hAnsi="宋体" w:cs="宋体"/>
                <w:szCs w:val="21"/>
                <w:highlight w:val="none"/>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8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spacing w:line="400" w:lineRule="exact"/>
              <w:ind w:firstLine="360" w:firstLineChars="150"/>
              <w:rPr>
                <w:rFonts w:hint="eastAsia" w:ascii="宋体" w:hAnsi="宋体" w:cs="宋体"/>
                <w:color w:val="000000"/>
                <w:szCs w:val="21"/>
                <w:highlight w:val="none"/>
              </w:rPr>
            </w:pPr>
            <w:r>
              <w:rPr>
                <w:rFonts w:hint="eastAsia" w:ascii="宋体" w:hAnsi="宋体" w:cs="宋体"/>
                <w:color w:val="000000"/>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highlight w:val="none"/>
              </w:rPr>
            </w:pPr>
            <w:r>
              <w:rPr>
                <w:rFonts w:hint="eastAsia" w:ascii="宋体" w:hAnsi="宋体" w:cs="宋体"/>
                <w:color w:val="000000"/>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环保设施：</w:t>
            </w:r>
          </w:p>
          <w:p>
            <w:pPr>
              <w:spacing w:line="240" w:lineRule="exact"/>
              <w:rPr>
                <w:rFonts w:hint="eastAsia" w:ascii="宋体" w:hAnsi="宋体" w:eastAsia="宋体"/>
                <w:color w:val="FF0000"/>
                <w:sz w:val="20"/>
                <w:szCs w:val="20"/>
                <w:highlight w:val="none"/>
                <w:lang w:val="en-US" w:eastAsia="zh-CN"/>
              </w:rPr>
            </w:pPr>
            <w:r>
              <w:rPr>
                <w:rFonts w:hint="eastAsia" w:ascii="宋体" w:hAnsi="宋体"/>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职业健康安全设施：</w:t>
            </w:r>
          </w:p>
          <w:p>
            <w:pPr>
              <w:spacing w:line="240" w:lineRule="exact"/>
              <w:rPr>
                <w:rFonts w:hint="eastAsia" w:ascii="宋体" w:hAnsi="宋体" w:eastAsia="宋体"/>
                <w:color w:val="FF0000"/>
                <w:sz w:val="20"/>
                <w:szCs w:val="20"/>
                <w:highlight w:val="none"/>
                <w:lang w:val="en-US" w:eastAsia="zh-CN"/>
              </w:rPr>
            </w:pPr>
            <w:r>
              <w:rPr>
                <w:rFonts w:hint="eastAsia" w:ascii="宋体" w:hAnsi="宋体"/>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highlight w:val="none"/>
              </w:rPr>
            </w:pPr>
            <w:r>
              <w:rPr>
                <w:rFonts w:hint="eastAsia"/>
                <w:b/>
                <w:color w:val="000000" w:themeColor="text1"/>
                <w:sz w:val="20"/>
                <w:szCs w:val="20"/>
                <w:highlight w:val="none"/>
              </w:rPr>
              <w:t>(三)体系运行情况</w:t>
            </w: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highlight w:val="none"/>
              </w:rPr>
            </w:pPr>
            <w:r>
              <w:rPr>
                <w:rFonts w:hint="eastAsia" w:ascii="宋体" w:hAnsi="宋体" w:cs="宋体"/>
                <w:szCs w:val="21"/>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宋体" w:hAnsi="宋体" w:cs="宋体"/>
                <w:color w:val="000000"/>
                <w:szCs w:val="21"/>
                <w:highlight w:val="none"/>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highlight w:val="none"/>
              </w:rPr>
            </w:pPr>
            <w:r>
              <w:rPr>
                <w:rFonts w:hint="eastAsia" w:ascii="宋体" w:hAnsi="宋体" w:cs="宋体"/>
                <w:color w:val="000000"/>
                <w:szCs w:val="21"/>
                <w:highlight w:val="none"/>
              </w:rPr>
              <w:t>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hint="eastAsia" w:ascii="宋体" w:hAnsi="宋体" w:cs="宋体"/>
                <w:color w:val="000000"/>
                <w:szCs w:val="21"/>
                <w:highlight w:val="none"/>
              </w:rPr>
            </w:pPr>
            <w:r>
              <w:rPr>
                <w:rFonts w:hint="eastAsia" w:ascii="楷体_GB2312" w:eastAsia="楷体_GB2312"/>
                <w:b/>
                <w:color w:val="000000" w:themeColor="text1"/>
                <w:sz w:val="20"/>
                <w:szCs w:val="20"/>
                <w:highlight w:val="none"/>
              </w:rPr>
              <w:t>组织对外联络，关注顾客的感受情况（QMS）：</w:t>
            </w:r>
            <w:r>
              <w:rPr>
                <w:rFonts w:hint="eastAsia" w:ascii="宋体" w:hAnsi="宋体" w:cs="宋体"/>
                <w:color w:val="000000"/>
                <w:szCs w:val="21"/>
                <w:highlight w:val="none"/>
              </w:rPr>
              <w:t>采取顾客满意度调查方式了解顾客感受。</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重要环境因素信息对外交流情况（EMS填写）：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Cs w:val="21"/>
                <w:highlight w:val="none"/>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QMS 组织对重要过程实施控制的结果</w:t>
            </w:r>
          </w:p>
          <w:p>
            <w:pPr>
              <w:spacing w:line="240" w:lineRule="exact"/>
              <w:ind w:left="201"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ind w:firstLine="480" w:firstLineChars="200"/>
              <w:rPr>
                <w:b/>
                <w:color w:val="000000" w:themeColor="text1"/>
                <w:sz w:val="20"/>
                <w:szCs w:val="20"/>
                <w:highlight w:val="none"/>
              </w:rPr>
            </w:pPr>
            <w:r>
              <w:rPr>
                <w:rFonts w:hint="eastAsia" w:ascii="宋体" w:hAnsi="宋体" w:cs="宋体"/>
                <w:color w:val="000000"/>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300" w:lineRule="exact"/>
              <w:jc w:val="left"/>
              <w:rPr>
                <w:b/>
                <w:color w:val="000000" w:themeColor="text1"/>
                <w:sz w:val="20"/>
                <w:szCs w:val="20"/>
                <w:highlight w:val="none"/>
              </w:rPr>
            </w:pPr>
            <w:r>
              <w:rPr>
                <w:rFonts w:hint="eastAsia"/>
                <w:b/>
                <w:color w:val="000000" w:themeColor="text1"/>
                <w:sz w:val="20"/>
                <w:szCs w:val="20"/>
                <w:highlight w:val="none"/>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highlight w:val="none"/>
              </w:rPr>
            </w:pPr>
            <w:r>
              <w:rPr>
                <w:rFonts w:hint="eastAsia" w:ascii="宋体" w:hAnsi="宋体" w:cs="宋体"/>
                <w:color w:val="000000"/>
                <w:szCs w:val="21"/>
                <w:highlight w:val="none"/>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highlight w:val="none"/>
              </w:rPr>
            </w:pPr>
            <w:r>
              <w:rPr>
                <w:rFonts w:hint="eastAsia"/>
                <w:b/>
                <w:color w:val="000000" w:themeColor="text1"/>
                <w:sz w:val="20"/>
                <w:szCs w:val="20"/>
                <w:highlight w:val="none"/>
              </w:rPr>
              <w:t>(应说明相关证据)：</w:t>
            </w:r>
            <w:r>
              <w:rPr>
                <w:rFonts w:hint="eastAsia"/>
                <w:color w:val="000000" w:themeColor="text1"/>
                <w:sz w:val="20"/>
                <w:szCs w:val="20"/>
                <w:highlight w:val="none"/>
              </w:rPr>
              <w:t>验收规范、验收</w:t>
            </w:r>
            <w:r>
              <w:rPr>
                <w:rFonts w:hint="eastAsia"/>
                <w:color w:val="000000" w:themeColor="text1"/>
                <w:sz w:val="20"/>
                <w:szCs w:val="20"/>
                <w:highlight w:val="none"/>
                <w:lang w:eastAsia="zh-CN"/>
              </w:rPr>
              <w:t>记录</w:t>
            </w:r>
            <w:r>
              <w:rPr>
                <w:rFonts w:hint="eastAsia"/>
                <w:color w:val="000000" w:themeColor="text1"/>
                <w:sz w:val="20"/>
                <w:szCs w:val="20"/>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lang w:eastAsia="zh-CN"/>
              </w:rPr>
              <w:t>无</w:t>
            </w:r>
          </w:p>
          <w:p>
            <w:pPr>
              <w:spacing w:line="240" w:lineRule="exact"/>
              <w:ind w:firstLine="402" w:firstLineChars="200"/>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ind w:firstLine="480" w:firstLineChars="200"/>
              <w:rPr>
                <w:b/>
                <w:color w:val="000000" w:themeColor="text1"/>
                <w:sz w:val="20"/>
                <w:szCs w:val="20"/>
                <w:highlight w:val="none"/>
              </w:rPr>
            </w:pPr>
            <w:r>
              <w:rPr>
                <w:rFonts w:hint="eastAsia" w:ascii="宋体" w:hAnsi="宋体" w:cs="宋体"/>
                <w:color w:val="000000"/>
                <w:szCs w:val="21"/>
                <w:highlight w:val="none"/>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spacing w:line="240" w:lineRule="exact"/>
              <w:rPr>
                <w:rFonts w:hint="default"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rFonts w:hint="eastAsia"/>
                <w:b/>
                <w:color w:val="000000" w:themeColor="text1"/>
                <w:sz w:val="20"/>
                <w:szCs w:val="20"/>
                <w:highlight w:val="none"/>
              </w:rPr>
            </w:pPr>
            <w:r>
              <w:rPr>
                <w:rFonts w:hint="eastAsia"/>
                <w:b/>
                <w:color w:val="000000" w:themeColor="text1"/>
                <w:sz w:val="20"/>
                <w:szCs w:val="20"/>
                <w:highlight w:val="none"/>
              </w:rPr>
              <w:t>8. OHS 组织对不可接受风险实施控制的结果</w:t>
            </w:r>
          </w:p>
          <w:p>
            <w:pPr>
              <w:spacing w:line="240" w:lineRule="exact"/>
              <w:rPr>
                <w:rFonts w:hint="eastAsia"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rFonts w:hint="eastAsia"/>
                <w:b/>
                <w:sz w:val="20"/>
                <w:szCs w:val="20"/>
                <w:highlight w:val="none"/>
              </w:rPr>
            </w:pPr>
            <w:r>
              <w:rPr>
                <w:rFonts w:hint="eastAsia"/>
                <w:b/>
                <w:color w:val="000000" w:themeColor="text1"/>
                <w:sz w:val="20"/>
                <w:szCs w:val="20"/>
                <w:highlight w:val="none"/>
              </w:rPr>
              <w:t>11 .对危险化学品销售、使用、储存、运输处置，规定的执行力度(必要时);</w:t>
            </w:r>
            <w:r>
              <w:rPr>
                <w:rFonts w:hint="eastAsia"/>
                <w:b/>
                <w:color w:val="FF0000"/>
                <w:sz w:val="20"/>
                <w:szCs w:val="20"/>
                <w:highlight w:val="none"/>
              </w:rPr>
              <w:t xml:space="preserve"> </w:t>
            </w:r>
            <w:r>
              <w:rPr>
                <w:rFonts w:hint="eastAsia"/>
                <w:b/>
                <w:sz w:val="20"/>
                <w:szCs w:val="20"/>
                <w:highlight w:val="none"/>
              </w:rPr>
              <w:t>（适用时）</w:t>
            </w:r>
          </w:p>
          <w:p>
            <w:pPr>
              <w:spacing w:line="240" w:lineRule="exact"/>
              <w:rPr>
                <w:rFonts w:hint="eastAsia" w:eastAsia="宋体"/>
                <w:color w:val="FF0000"/>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600" w:firstLineChars="2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60"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color w:val="FF0000"/>
                <w:sz w:val="20"/>
                <w:szCs w:val="20"/>
                <w:highlight w:val="none"/>
              </w:rPr>
            </w:pPr>
            <w:r>
              <w:rPr>
                <w:rFonts w:hint="eastAsia" w:ascii="宋体" w:hAnsi="宋体" w:cs="宋体"/>
                <w:color w:val="000000"/>
                <w:szCs w:val="21"/>
                <w:highlight w:val="none"/>
              </w:rPr>
              <w:t>建立有《内部审核控制程序》，规定了内审频次一年一次，内审时间：</w:t>
            </w:r>
            <w:r>
              <w:rPr>
                <w:rFonts w:hint="eastAsia" w:ascii="宋体" w:hAnsi="宋体" w:cs="宋体"/>
                <w:color w:val="000000"/>
                <w:szCs w:val="21"/>
                <w:highlight w:val="none"/>
                <w:lang w:eastAsia="zh-CN"/>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lang w:eastAsia="zh-CN"/>
              </w:rPr>
              <w:t xml:space="preserve">年 </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lang w:eastAsia="zh-CN"/>
              </w:rPr>
              <w:t>月</w:t>
            </w:r>
            <w:r>
              <w:rPr>
                <w:rFonts w:hint="eastAsia" w:ascii="宋体" w:hAnsi="宋体" w:cs="宋体"/>
                <w:color w:val="000000"/>
                <w:szCs w:val="21"/>
                <w:highlight w:val="none"/>
                <w:lang w:val="en-US" w:eastAsia="zh-CN"/>
              </w:rPr>
              <w:t>25日</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highlight w:val="none"/>
              </w:rPr>
              <w:t>涉及</w:t>
            </w:r>
            <w:r>
              <w:rPr>
                <w:rFonts w:hint="eastAsia" w:ascii="宋体" w:hAnsi="宋体" w:cs="宋体"/>
                <w:szCs w:val="24"/>
                <w:highlight w:val="none"/>
                <w:lang w:val="en-US" w:eastAsia="zh-CN"/>
              </w:rPr>
              <w:t>行政部不符合</w:t>
            </w:r>
            <w:r>
              <w:rPr>
                <w:rFonts w:hint="eastAsia" w:ascii="宋体" w:hAnsi="宋体" w:cs="宋体"/>
                <w:szCs w:val="24"/>
                <w:highlight w:val="none"/>
              </w:rPr>
              <w:t>标准</w:t>
            </w:r>
            <w:r>
              <w:rPr>
                <w:rFonts w:hint="eastAsia" w:ascii="宋体" w:hAnsi="宋体" w:cs="宋体"/>
                <w:szCs w:val="24"/>
                <w:highlight w:val="none"/>
                <w:lang w:val="en-US" w:eastAsia="zh-CN"/>
              </w:rPr>
              <w:t>7.5</w:t>
            </w:r>
            <w:r>
              <w:rPr>
                <w:rFonts w:hint="eastAsia" w:ascii="宋体" w:hAnsi="宋体" w:cs="宋体"/>
                <w:szCs w:val="24"/>
                <w:highlight w:val="none"/>
              </w:rPr>
              <w:t>条款</w:t>
            </w:r>
            <w:r>
              <w:rPr>
                <w:rFonts w:hint="eastAsia" w:ascii="宋体" w:hAnsi="宋体" w:cs="宋体"/>
                <w:szCs w:val="24"/>
                <w:highlight w:val="none"/>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480" w:firstLineChars="200"/>
              <w:rPr>
                <w:b/>
                <w:color w:val="000000" w:themeColor="text1"/>
                <w:sz w:val="20"/>
                <w:szCs w:val="20"/>
                <w:highlight w:val="none"/>
              </w:rPr>
            </w:pPr>
            <w:r>
              <w:rPr>
                <w:rFonts w:hint="eastAsia" w:ascii="宋体" w:hAnsi="宋体" w:cs="宋体"/>
                <w:szCs w:val="21"/>
                <w:highlight w:val="none"/>
              </w:rPr>
              <w:t>管理评审频次为一年一次、本次管理评审于</w:t>
            </w:r>
            <w:r>
              <w:rPr>
                <w:rFonts w:hint="eastAsia" w:ascii="宋体" w:hAnsi="宋体" w:cs="宋体"/>
                <w:szCs w:val="21"/>
                <w:highlight w:val="none"/>
                <w:lang w:eastAsia="zh-CN"/>
              </w:rPr>
              <w:t>20</w:t>
            </w:r>
            <w:r>
              <w:rPr>
                <w:rFonts w:hint="eastAsia" w:ascii="宋体" w:hAnsi="宋体" w:cs="宋体"/>
                <w:szCs w:val="21"/>
                <w:highlight w:val="none"/>
                <w:lang w:val="en-US" w:eastAsia="zh-CN"/>
              </w:rPr>
              <w:t>20</w:t>
            </w:r>
            <w:r>
              <w:rPr>
                <w:rFonts w:hint="eastAsia" w:ascii="宋体" w:hAnsi="宋体" w:cs="宋体"/>
                <w:szCs w:val="21"/>
                <w:highlight w:val="none"/>
                <w:lang w:eastAsia="zh-CN"/>
              </w:rPr>
              <w:t>年0</w:t>
            </w:r>
            <w:r>
              <w:rPr>
                <w:rFonts w:hint="eastAsia" w:ascii="宋体" w:hAnsi="宋体" w:cs="宋体"/>
                <w:szCs w:val="21"/>
                <w:highlight w:val="none"/>
                <w:lang w:val="en-US" w:eastAsia="zh-CN"/>
              </w:rPr>
              <w:t>8</w:t>
            </w:r>
            <w:r>
              <w:rPr>
                <w:rFonts w:hint="eastAsia" w:ascii="宋体" w:hAnsi="宋体" w:cs="宋体"/>
                <w:szCs w:val="21"/>
                <w:highlight w:val="none"/>
                <w:lang w:eastAsia="zh-CN"/>
              </w:rPr>
              <w:t>月</w:t>
            </w:r>
            <w:r>
              <w:rPr>
                <w:rFonts w:hint="eastAsia" w:ascii="宋体" w:hAnsi="宋体" w:cs="宋体"/>
                <w:szCs w:val="21"/>
                <w:highlight w:val="none"/>
                <w:lang w:val="en-US" w:eastAsia="zh-CN"/>
              </w:rPr>
              <w:t>20</w:t>
            </w:r>
            <w:r>
              <w:rPr>
                <w:rFonts w:hint="eastAsia" w:ascii="宋体" w:hAnsi="宋体" w:cs="宋体"/>
                <w:szCs w:val="21"/>
                <w:highlight w:val="none"/>
                <w:lang w:eastAsia="zh-CN"/>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hint="eastAsia"/>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highlight w:val="none"/>
                <w:lang w:val="en-US" w:eastAsia="zh-CN"/>
              </w:rPr>
            </w:pPr>
            <w:r>
              <w:rPr>
                <w:rFonts w:hint="eastAsia"/>
                <w:color w:val="FF000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7. OHSMS是否按规定对职业健康安全项目进行定期测量，结果是否满足相关要求：</w:t>
            </w:r>
          </w:p>
          <w:p>
            <w:pPr>
              <w:spacing w:line="300" w:lineRule="exact"/>
              <w:rPr>
                <w:rFonts w:hint="eastAsia"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8.OHSMS国家/地方职业健康安全部门监督检查情况及措施</w:t>
            </w:r>
          </w:p>
          <w:p>
            <w:pPr>
              <w:spacing w:line="240" w:lineRule="exact"/>
              <w:rPr>
                <w:rFonts w:hint="eastAsia" w:eastAsia="宋体"/>
                <w:b/>
                <w:color w:val="FF0000"/>
                <w:sz w:val="20"/>
                <w:szCs w:val="20"/>
                <w:highlight w:val="none"/>
                <w:lang w:val="en-US" w:eastAsia="zh-CN"/>
              </w:rPr>
            </w:pPr>
            <w:r>
              <w:rPr>
                <w:rFonts w:hint="eastAsia"/>
                <w:b/>
                <w:color w:val="000000" w:themeColor="text1"/>
                <w:sz w:val="20"/>
                <w:szCs w:val="20"/>
                <w:highlight w:val="none"/>
                <w:lang w:val="en-US" w:eastAsia="zh-CN"/>
              </w:rPr>
              <w:t>/</w:t>
            </w:r>
          </w:p>
        </w:tc>
      </w:tr>
      <w:tr>
        <w:tblPrEx>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highlight w:val="none"/>
              </w:rPr>
            </w:pPr>
          </w:p>
        </w:tc>
        <w:tc>
          <w:tcPr>
            <w:tcW w:w="9198" w:type="dxa"/>
            <w:tcBorders>
              <w:bottom w:val="single" w:color="auto" w:sz="4" w:space="0"/>
            </w:tcBorders>
          </w:tcPr>
          <w:p>
            <w:pPr>
              <w:widowControl/>
              <w:spacing w:line="240" w:lineRule="exact"/>
              <w:rPr>
                <w:rFonts w:hint="eastAsia"/>
                <w:b/>
                <w:color w:val="000000" w:themeColor="text1"/>
                <w:sz w:val="20"/>
                <w:szCs w:val="20"/>
                <w:highlight w:val="none"/>
              </w:rPr>
            </w:pPr>
            <w:r>
              <w:rPr>
                <w:rFonts w:hint="eastAsia"/>
                <w:b/>
                <w:color w:val="000000" w:themeColor="text1"/>
                <w:sz w:val="20"/>
                <w:szCs w:val="20"/>
                <w:highlight w:val="none"/>
              </w:rPr>
              <w:t>9. 其他能够标明组织绩效、信誉的证据/信息：</w:t>
            </w:r>
          </w:p>
          <w:p>
            <w:pPr>
              <w:widowControl/>
              <w:spacing w:line="240" w:lineRule="exact"/>
              <w:rPr>
                <w:rFonts w:hint="default" w:eastAsia="宋体"/>
                <w:b/>
                <w:color w:val="FF0000"/>
                <w:sz w:val="20"/>
                <w:szCs w:val="20"/>
                <w:highlight w:val="none"/>
                <w:lang w:val="en-US" w:eastAsia="zh-CN"/>
              </w:rPr>
            </w:pPr>
            <w:r>
              <w:rPr>
                <w:rFonts w:hint="eastAsia"/>
                <w:b/>
                <w:color w:val="000000" w:themeColor="text1"/>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highlight w:val="none"/>
              </w:rPr>
            </w:pPr>
            <w:r>
              <w:rPr>
                <w:rFonts w:hint="eastAsia"/>
                <w:b/>
                <w:color w:val="000000" w:themeColor="text1"/>
                <w:sz w:val="20"/>
                <w:highlight w:val="none"/>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spacing w:line="400" w:lineRule="exact"/>
              <w:ind w:firstLine="480" w:firstLineChars="200"/>
              <w:rPr>
                <w:rFonts w:ascii="宋体" w:hAnsi="宋体"/>
                <w:szCs w:val="21"/>
                <w:highlight w:val="none"/>
              </w:rPr>
            </w:pPr>
            <w:r>
              <w:rPr>
                <w:rFonts w:hint="eastAsia" w:ascii="宋体" w:hAnsi="宋体" w:cs="宋体"/>
                <w:color w:val="000000" w:themeColor="text1"/>
                <w:highlight w:val="none"/>
              </w:rPr>
              <w:t>公司明确通过对内、外审核结果、管理评审输出、监测和测量等活动中识别出</w:t>
            </w:r>
            <w:r>
              <w:rPr>
                <w:rFonts w:hint="eastAsia" w:ascii="宋体" w:hAnsi="宋体"/>
                <w:color w:val="000000" w:themeColor="text1"/>
                <w:highlight w:val="none"/>
              </w:rPr>
              <w:t>在产品/服务、过程、管理体系等方面</w:t>
            </w:r>
            <w:r>
              <w:rPr>
                <w:rFonts w:hint="eastAsia" w:ascii="宋体" w:hAnsi="宋体" w:cs="宋体"/>
                <w:color w:val="000000" w:themeColor="text1"/>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b/>
                <w:color w:val="000000" w:themeColor="text1"/>
                <w:sz w:val="20"/>
                <w:szCs w:val="20"/>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highlight w:val="none"/>
              </w:rPr>
            </w:pPr>
            <w:r>
              <w:rPr>
                <w:rFonts w:hint="eastAsia"/>
                <w:b/>
                <w:color w:val="000000" w:themeColor="text1"/>
                <w:sz w:val="20"/>
                <w:szCs w:val="20"/>
                <w:highlight w:val="none"/>
                <w:lang w:val="en-US" w:eastAsia="zh-CN"/>
              </w:rPr>
              <w:t>3</w:t>
            </w:r>
            <w:r>
              <w:rPr>
                <w:rFonts w:hint="eastAsia"/>
                <w:b/>
                <w:color w:val="000000" w:themeColor="text1"/>
                <w:sz w:val="20"/>
                <w:szCs w:val="20"/>
                <w:highlight w:val="none"/>
              </w:rPr>
              <w:t>.创新情况</w:t>
            </w:r>
          </w:p>
          <w:p>
            <w:pPr>
              <w:spacing w:line="240" w:lineRule="exact"/>
              <w:rPr>
                <w:b/>
                <w:color w:val="000000" w:themeColor="text1"/>
                <w:sz w:val="20"/>
                <w:szCs w:val="20"/>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highlight w:val="none"/>
              </w:rPr>
            </w:pPr>
            <w:r>
              <w:rPr>
                <w:rFonts w:hint="eastAsia"/>
                <w:b/>
                <w:color w:val="000000" w:themeColor="text1"/>
                <w:szCs w:val="21"/>
                <w:highlight w:val="none"/>
                <w:lang w:val="en-US" w:eastAsia="zh-CN"/>
              </w:rPr>
              <w:t>4.</w:t>
            </w:r>
            <w:r>
              <w:rPr>
                <w:rFonts w:hint="eastAsia"/>
                <w:b/>
                <w:color w:val="000000" w:themeColor="text1"/>
                <w:szCs w:val="21"/>
                <w:highlight w:val="none"/>
              </w:rPr>
              <w:t xml:space="preserve"> 上次不符合的整改情况（再认证填写）</w:t>
            </w:r>
          </w:p>
          <w:p>
            <w:pPr>
              <w:spacing w:line="240" w:lineRule="exact"/>
              <w:rPr>
                <w:rFonts w:hint="default" w:eastAsia="宋体"/>
                <w:b/>
                <w:color w:val="000000" w:themeColor="text1"/>
                <w:szCs w:val="21"/>
                <w:highlight w:val="none"/>
                <w:lang w:val="en-US" w:eastAsia="zh-CN"/>
              </w:rPr>
            </w:pPr>
            <w:r>
              <w:rPr>
                <w:rFonts w:hint="eastAsia" w:ascii="Times New Roman" w:hAnsi="Times New Roman" w:cs="Times New Roman"/>
                <w:b/>
                <w:color w:val="000000" w:themeColor="text1"/>
                <w:sz w:val="20"/>
                <w:szCs w:val="20"/>
                <w:highlight w:val="none"/>
                <w:lang w:val="en-US" w:eastAsia="zh-CN"/>
              </w:rPr>
              <w:t>经验证上次审核不符合7.1.5条款未出现类视情况。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default" w:eastAsia="宋体"/>
          <w:b/>
          <w:sz w:val="21"/>
          <w:lang w:val="en-US" w:eastAsia="zh-CN"/>
        </w:rPr>
        <w:drawing>
          <wp:anchor distT="0" distB="0" distL="114300" distR="114300" simplePos="0" relativeHeight="251675648" behindDoc="0" locked="0" layoutInCell="1" allowOverlap="1">
            <wp:simplePos x="0" y="0"/>
            <wp:positionH relativeFrom="column">
              <wp:posOffset>1741170</wp:posOffset>
            </wp:positionH>
            <wp:positionV relativeFrom="paragraph">
              <wp:posOffset>216535</wp:posOffset>
            </wp:positionV>
            <wp:extent cx="520700" cy="368935"/>
            <wp:effectExtent l="0" t="0" r="12700" b="1270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520700" cy="368935"/>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2021年01月17日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default" w:eastAsia="宋体"/>
          <w:b/>
          <w:sz w:val="21"/>
          <w:lang w:val="en-US" w:eastAsia="zh-CN"/>
        </w:rPr>
        <w:drawing>
          <wp:anchor distT="0" distB="0" distL="114300" distR="114300" simplePos="0" relativeHeight="251694080" behindDoc="0" locked="0" layoutInCell="1" allowOverlap="1">
            <wp:simplePos x="0" y="0"/>
            <wp:positionH relativeFrom="column">
              <wp:posOffset>1205230</wp:posOffset>
            </wp:positionH>
            <wp:positionV relativeFrom="paragraph">
              <wp:posOffset>196215</wp:posOffset>
            </wp:positionV>
            <wp:extent cx="425450" cy="301625"/>
            <wp:effectExtent l="0" t="0" r="12700" b="317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425450" cy="301625"/>
                    </a:xfrm>
                    <a:prstGeom prst="rect">
                      <a:avLst/>
                    </a:prstGeom>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F43584"/>
    <w:rsid w:val="097321F8"/>
    <w:rsid w:val="14584FE7"/>
    <w:rsid w:val="14DA65F9"/>
    <w:rsid w:val="18E42B01"/>
    <w:rsid w:val="1C622324"/>
    <w:rsid w:val="1CD965A6"/>
    <w:rsid w:val="200D3D6E"/>
    <w:rsid w:val="211E0ABC"/>
    <w:rsid w:val="21235A2C"/>
    <w:rsid w:val="216E04FA"/>
    <w:rsid w:val="21DE26BF"/>
    <w:rsid w:val="23F3552C"/>
    <w:rsid w:val="25823901"/>
    <w:rsid w:val="282938AF"/>
    <w:rsid w:val="2A866493"/>
    <w:rsid w:val="2B544E81"/>
    <w:rsid w:val="2EE34C62"/>
    <w:rsid w:val="2F18063C"/>
    <w:rsid w:val="33F767D2"/>
    <w:rsid w:val="38116A6E"/>
    <w:rsid w:val="43554EF6"/>
    <w:rsid w:val="4F761E65"/>
    <w:rsid w:val="5005215B"/>
    <w:rsid w:val="50726C7C"/>
    <w:rsid w:val="510C56EA"/>
    <w:rsid w:val="54F62B5F"/>
    <w:rsid w:val="55922E4B"/>
    <w:rsid w:val="5F032337"/>
    <w:rsid w:val="6B262932"/>
    <w:rsid w:val="6B801072"/>
    <w:rsid w:val="725A2179"/>
    <w:rsid w:val="72911D47"/>
    <w:rsid w:val="74BF052C"/>
    <w:rsid w:val="77054BEE"/>
    <w:rsid w:val="78D56323"/>
    <w:rsid w:val="7B5C2874"/>
    <w:rsid w:val="7C5F25F6"/>
    <w:rsid w:val="7CF606D7"/>
    <w:rsid w:val="7F527395"/>
    <w:rsid w:val="7FFF60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2021-01-15T08:17:42Z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