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四川尼希米物流有限公司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黑体" w:hAnsi="黑体" w:eastAsia="黑体" w:cs="黑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四川尼希米物流有限公司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四川省成都市新都区物流大道88号传化物流基地A275号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610500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成都市新都区中集大道227号通祥物流园2栋3-316</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610500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周开强</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18113027116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周开强</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周开强</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周鹏</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资质范围内普通货运</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31.04.01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黑体" w:hAnsi="黑体" w:eastAsia="黑体" w:cs="黑体"/>
                <w:b/>
                <w:color w:val="000000" w:themeColor="text1"/>
                <w:sz w:val="20"/>
                <w:szCs w:val="20"/>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2020-05-10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eastAsia="zh-CN"/>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运输部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策划管理；过程监控管理；服务过程管理；设备设施管理；监视和测量设备管理；不合格品控制；纠正和预防措施控制；产品验收管理；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业务部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lang w:eastAsia="zh-CN"/>
              </w:rPr>
            </w:pPr>
            <w:r>
              <w:rPr>
                <w:rFonts w:hint="eastAsia"/>
                <w:sz w:val="20"/>
                <w:lang w:eastAsia="zh-CN"/>
              </w:rPr>
              <w:t>资质范围内普通货运</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pacing w:line="400" w:lineRule="exact"/>
              <w:rPr>
                <w:b/>
                <w:color w:val="000000" w:themeColor="text1"/>
                <w:sz w:val="20"/>
                <w:szCs w:val="20"/>
              </w:rPr>
            </w:pPr>
            <w:r>
              <w:rPr>
                <w:rFonts w:hint="eastAsia"/>
                <w:szCs w:val="21"/>
              </w:rPr>
              <w:t>汽车运输货物条码编码规则JT/T648-2006、货运挂车产品质量检查 试验规程</w:t>
            </w:r>
            <w:r>
              <w:fldChar w:fldCharType="begin"/>
            </w:r>
            <w:r>
              <w:instrText xml:space="preserve"> HYPERLINK "http://www.csres.com/detail/53209.html" \t "http://www.csres.com/_blank" </w:instrText>
            </w:r>
            <w:r>
              <w:fldChar w:fldCharType="separate"/>
            </w:r>
            <w:r>
              <w:rPr>
                <w:rFonts w:hint="default"/>
              </w:rPr>
              <w:t>GB/T13872-2002</w:t>
            </w:r>
            <w:r>
              <w:rPr>
                <w:rFonts w:hint="default"/>
              </w:rPr>
              <w:fldChar w:fldCharType="end"/>
            </w:r>
            <w:r>
              <w:rPr>
                <w:rFonts w:hint="eastAsia"/>
                <w:szCs w:val="21"/>
              </w:rPr>
              <w:t>、</w:t>
            </w:r>
            <w:r>
              <w:t>道路车辆 货运挂车试验方法</w:t>
            </w:r>
            <w:r>
              <w:fldChar w:fldCharType="begin"/>
            </w:r>
            <w:r>
              <w:instrText xml:space="preserve"> HYPERLINK "http://www.csres.com/detail/274230.html" \t "http://www.csres.com/_blank" </w:instrText>
            </w:r>
            <w:r>
              <w:fldChar w:fldCharType="separate"/>
            </w:r>
            <w:r>
              <w:rPr>
                <w:rFonts w:hint="default"/>
              </w:rPr>
              <w:t>GB/T13873-2015</w:t>
            </w:r>
            <w:r>
              <w:rPr>
                <w:rFonts w:hint="default"/>
              </w:rPr>
              <w:fldChar w:fldCharType="end"/>
            </w:r>
            <w:r>
              <w:rPr>
                <w:rFonts w:hint="eastAsia"/>
                <w:szCs w:val="21"/>
              </w:rPr>
              <w:t>、</w:t>
            </w:r>
            <w:r>
              <w:t>货运全挂车通用技术条件</w:t>
            </w:r>
            <w:r>
              <w:fldChar w:fldCharType="begin"/>
            </w:r>
            <w:r>
              <w:instrText xml:space="preserve"> HYPERLINK "http://www.csres.com/detail/57166.html" \t "http://www.csres.com/_blank" </w:instrText>
            </w:r>
            <w:r>
              <w:fldChar w:fldCharType="separate"/>
            </w:r>
            <w:r>
              <w:rPr>
                <w:rFonts w:hint="default"/>
              </w:rPr>
              <w:t>GB/T17275-1998</w:t>
            </w:r>
            <w:r>
              <w:rPr>
                <w:rFonts w:hint="default"/>
              </w:rPr>
              <w:fldChar w:fldCharType="end"/>
            </w:r>
            <w:r>
              <w:rPr>
                <w:rFonts w:hint="eastAsia"/>
                <w:szCs w:val="21"/>
              </w:rPr>
              <w:t>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黑体" w:hAnsi="黑体" w:eastAsia="黑体" w:cs="黑体"/>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10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黑体" w:hAnsi="黑体" w:eastAsia="黑体" w:cs="黑体"/>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80" w:lineRule="exact"/>
              <w:ind w:firstLine="210" w:firstLineChars="100"/>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240" w:lineRule="exact"/>
              <w:ind w:left="199" w:leftChars="95"/>
              <w:rPr>
                <w:b/>
                <w:color w:val="000000" w:themeColor="text1"/>
              </w:rPr>
            </w:pPr>
            <w:r>
              <w:rPr>
                <w:rFonts w:hint="eastAsia" w:ascii="宋体" w:hAnsi="宋体"/>
                <w:color w:val="000000" w:themeColor="text1"/>
              </w:rPr>
              <w:t>管理方针：</w:t>
            </w:r>
            <w:r>
              <w:rPr>
                <w:rFonts w:hint="eastAsia"/>
                <w:szCs w:val="21"/>
              </w:rPr>
              <w:t>经营优质产品，提供完善服务，不断持续改进，追求顾客满意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b/>
                <w:color w:val="000000" w:themeColor="text1"/>
                <w:lang w:val="en-US" w:eastAsia="zh-CN"/>
              </w:rPr>
            </w:pPr>
            <w:r>
              <w:rPr>
                <w:b/>
                <w:color w:val="000000" w:themeColor="text1"/>
              </w:rPr>
              <w:t>4、</w:t>
            </w:r>
            <w:r>
              <w:rPr>
                <w:rFonts w:hint="eastAsia"/>
                <w:b/>
                <w:color w:val="000000" w:themeColor="text1"/>
              </w:rPr>
              <w:t>风险识别与控制策划（QMS）</w:t>
            </w:r>
            <w:r>
              <w:rPr>
                <w:rFonts w:hint="eastAsia"/>
                <w:b/>
                <w:color w:val="000000" w:themeColor="text1"/>
                <w:lang w:val="en-US" w:eastAsia="zh-CN"/>
              </w:rPr>
              <w:t xml:space="preserve"> </w:t>
            </w:r>
          </w:p>
          <w:p>
            <w:pPr>
              <w:spacing w:line="240" w:lineRule="exact"/>
              <w:rPr>
                <w:rFonts w:hint="eastAsia" w:eastAsia="宋体"/>
                <w:b/>
                <w:color w:val="000000" w:themeColor="text1"/>
                <w:lang w:val="en-US" w:eastAsia="zh-CN"/>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质量管理体系过程有：接单——车辆安排——提货——送货——客户签收</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运输服务过程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运输服务过程</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公司都是按相关行业标准、以往运输经验及客户提供的运输方案进行运输服务，暂时没有新的运输方案的策划。因此8.3产品和服务的设计和开发不适用，不适用本条款不影响公司提供运输服务的质量及满足顾客及法律法规要求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hint="eastAsia" w:eastAsia="宋体"/>
                <w:b/>
                <w:color w:val="000000" w:themeColor="text1"/>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黑体" w:hAnsi="黑体" w:eastAsia="黑体" w:cs="黑体"/>
                <w:b/>
                <w:color w:val="000000" w:themeColor="text1"/>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黑体" w:hAnsi="黑体" w:eastAsia="黑体" w:cs="黑体"/>
                <w:b/>
                <w:color w:val="000000" w:themeColor="text1"/>
                <w:szCs w:val="21"/>
              </w:rPr>
              <w:t>■</w:t>
            </w:r>
            <w:r>
              <w:rPr>
                <w:rFonts w:hint="eastAsia" w:ascii="宋体" w:hAnsi="宋体"/>
                <w:b/>
                <w:color w:val="000000" w:themeColor="text1"/>
                <w:szCs w:val="21"/>
              </w:rPr>
              <w:t>产品/服务□环境因素□危险源，</w:t>
            </w:r>
            <w:r>
              <w:rPr>
                <w:rFonts w:hint="eastAsia" w:ascii="黑体" w:hAnsi="黑体" w:eastAsia="黑体" w:cs="黑体"/>
                <w:b/>
                <w:color w:val="000000" w:themeColor="text1"/>
                <w:szCs w:val="21"/>
              </w:rPr>
              <w:t>■</w:t>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ind w:firstLine="420" w:firstLineChars="200"/>
            </w:pPr>
            <w:r>
              <w:rPr>
                <w:rFonts w:hint="eastAsia" w:ascii="宋体" w:hAnsi="宋体" w:cs="宋体"/>
                <w:color w:val="000000"/>
                <w:kern w:val="0"/>
                <w:szCs w:val="21"/>
              </w:rPr>
              <w:t>质量目标：</w:t>
            </w:r>
          </w:p>
          <w:p>
            <w:pPr>
              <w:tabs>
                <w:tab w:val="left" w:pos="703"/>
              </w:tabs>
              <w:ind w:left="420" w:leftChars="200"/>
              <w:rPr>
                <w:rFonts w:ascii="宋体" w:hAnsi="宋体"/>
                <w:szCs w:val="21"/>
              </w:rPr>
            </w:pPr>
            <w:r>
              <w:rPr>
                <w:rFonts w:hint="eastAsia" w:ascii="宋体" w:hAnsi="宋体"/>
                <w:szCs w:val="21"/>
              </w:rPr>
              <w:t>a）产品交付及时率100%</w:t>
            </w:r>
          </w:p>
          <w:p>
            <w:pPr>
              <w:tabs>
                <w:tab w:val="left" w:pos="703"/>
              </w:tabs>
              <w:ind w:left="420" w:leftChars="200"/>
              <w:rPr>
                <w:rFonts w:ascii="宋体" w:hAnsi="宋体"/>
                <w:b/>
                <w:color w:val="000000" w:themeColor="text1"/>
              </w:rPr>
            </w:pPr>
            <w:r>
              <w:rPr>
                <w:rFonts w:hint="eastAsia" w:ascii="宋体" w:hAnsi="宋体"/>
                <w:szCs w:val="21"/>
              </w:rPr>
              <w:t>b）顾客满意度达到95分以上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公司按照质量管理体系的标准要求，建立并形成了文件化的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2020</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bCs/>
                <w:iCs/>
                <w:szCs w:val="22"/>
              </w:rPr>
              <w:t>公司位于成都市新都区中集大道227号通祥物流园2栋3-316</w:t>
            </w:r>
            <w:r>
              <w:rPr>
                <w:rFonts w:hint="eastAsia" w:ascii="宋体" w:hAnsi="宋体"/>
                <w:szCs w:val="21"/>
              </w:rPr>
              <w:t>，</w:t>
            </w:r>
            <w:r>
              <w:rPr>
                <w:rFonts w:hint="eastAsia" w:ascii="宋体" w:hAnsi="宋体"/>
                <w:color w:val="000000" w:themeColor="text1"/>
                <w:szCs w:val="21"/>
              </w:rPr>
              <w:t>办公室面积</w:t>
            </w:r>
            <w:r>
              <w:rPr>
                <w:rFonts w:hint="eastAsia" w:ascii="宋体" w:hAnsi="宋体"/>
                <w:color w:val="000000" w:themeColor="text1"/>
                <w:szCs w:val="21"/>
                <w:lang w:val="en-US" w:eastAsia="zh-CN"/>
              </w:rPr>
              <w:t>200</w:t>
            </w:r>
            <w:r>
              <w:rPr>
                <w:rFonts w:hint="eastAsia" w:ascii="宋体" w:hAnsi="宋体"/>
                <w:color w:val="000000" w:themeColor="text1"/>
                <w:szCs w:val="21"/>
              </w:rPr>
              <w:t>平方米左右</w:t>
            </w:r>
            <w:r>
              <w:rPr>
                <w:rFonts w:hint="eastAsia" w:ascii="宋体" w:hAnsi="宋体"/>
                <w:szCs w:val="21"/>
              </w:rPr>
              <w:t>。主要生产设备包括：办公设备、办公耗材、运输车辆等</w:t>
            </w:r>
            <w:r>
              <w:rPr>
                <w:rFonts w:hint="eastAsia" w:ascii="宋体" w:hAnsi="宋体"/>
                <w:bCs/>
                <w:iCs/>
                <w:szCs w:val="22"/>
              </w:rPr>
              <w:t>，可以满足生产需要。对设备按保养周期进行维护保养，并实施。特种设备：无，公司未建立信息管理系统用于运输和服务。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办公室内设备布置合理，通道畅通，照明设施齐全，均配备了消防设施等设施。办公室明亮，作业场所光线较充足。每月由生产部对工作环境进行定期检查。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val="en-US" w:eastAsia="zh-CN"/>
              </w:rPr>
              <w:t xml:space="preserve"> </w:t>
            </w:r>
          </w:p>
          <w:p>
            <w:pPr>
              <w:spacing w:line="240" w:lineRule="exact"/>
              <w:rPr>
                <w:rFonts w:hint="eastAsia" w:ascii="宋体" w:hAnsi="宋体" w:eastAsia="宋体"/>
                <w:b/>
                <w:color w:val="000000" w:themeColor="text1"/>
                <w:sz w:val="20"/>
                <w:szCs w:val="20"/>
                <w:lang w:val="en-US" w:eastAsia="zh-CN"/>
              </w:rPr>
            </w:pPr>
            <w:r>
              <w:rPr>
                <w:rFonts w:hint="eastAsia" w:ascii="宋体" w:hAnsi="宋体"/>
                <w:szCs w:val="21"/>
              </w:rPr>
              <w:t>卫星定位系统（GPS），由</w:t>
            </w:r>
            <w:r>
              <w:rPr>
                <w:rFonts w:hint="eastAsia" w:ascii="宋体" w:hAnsi="宋体" w:cs="宋体"/>
                <w:szCs w:val="21"/>
              </w:rPr>
              <w:t>行业管理部门指定的第三方公司</w:t>
            </w:r>
            <w:r>
              <w:rPr>
                <w:rFonts w:hint="eastAsia" w:ascii="宋体" w:hAnsi="宋体"/>
                <w:szCs w:val="21"/>
              </w:rPr>
              <w:t>安装确认和维护。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lang w:val="en-US" w:eastAsia="zh-CN"/>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b/>
                <w:color w:val="000000" w:themeColor="text1"/>
                <w:sz w:val="20"/>
                <w:szCs w:val="20"/>
                <w:lang w:val="en-US" w:eastAsia="zh-CN"/>
              </w:rPr>
              <w:t xml:space="preserve"> </w:t>
            </w:r>
          </w:p>
          <w:p>
            <w:pPr>
              <w:spacing w:line="300" w:lineRule="exact"/>
              <w:ind w:left="1"/>
              <w:rPr>
                <w:rFonts w:hint="eastAsia" w:eastAsia="宋体"/>
                <w:b/>
                <w:color w:val="000000" w:themeColor="text1"/>
                <w:sz w:val="20"/>
                <w:szCs w:val="20"/>
                <w:lang w:val="en-US" w:eastAsia="zh-CN"/>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cs="宋体"/>
                <w:color w:val="000000"/>
                <w:szCs w:val="21"/>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检测部门在各阶段对产品服务质量实施检查与验收的管理要求。内容基本具备全面性、系统性及可操作性。质量检查与验收均在服务完成前予以实现。以此保证持续向顾客稳定提供稳定合格的产品及服务。</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r>
              <w:rPr>
                <w:rFonts w:hint="eastAsia"/>
                <w:b/>
                <w:color w:val="000000" w:themeColor="text1"/>
                <w:sz w:val="20"/>
                <w:szCs w:val="20"/>
                <w:lang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OHSMS组织对不可接受风险实施控制的结果</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eastAsia="宋体"/>
                <w:b/>
                <w:color w:val="000000" w:themeColor="text1"/>
                <w:spacing w:val="-4"/>
                <w:sz w:val="20"/>
                <w:szCs w:val="20"/>
                <w:lang w:val="en-US" w:eastAsia="zh-CN"/>
              </w:rPr>
            </w:pPr>
            <w:r>
              <w:rPr>
                <w:rFonts w:hint="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w:t>
            </w:r>
            <w:r>
              <w:rPr>
                <w:rFonts w:hint="eastAsia" w:ascii="宋体" w:hAnsi="宋体" w:cs="宋体"/>
                <w:color w:val="000000"/>
                <w:szCs w:val="21"/>
                <w:lang w:val="en-US" w:eastAsia="zh-CN"/>
              </w:rPr>
              <w:t>6</w:t>
            </w:r>
            <w:r>
              <w:rPr>
                <w:rFonts w:hint="eastAsia" w:ascii="宋体" w:hAnsi="宋体" w:cs="宋体"/>
                <w:color w:val="000000"/>
                <w:szCs w:val="21"/>
              </w:rPr>
              <w:t>-</w:t>
            </w:r>
            <w:r>
              <w:rPr>
                <w:rFonts w:hint="eastAsia" w:ascii="宋体" w:hAnsi="宋体" w:cs="宋体"/>
                <w:color w:val="000000"/>
                <w:szCs w:val="21"/>
                <w:lang w:val="en-US" w:eastAsia="zh-CN"/>
              </w:rPr>
              <w:t>12</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lang w:val="en-US" w:eastAsia="zh-CN"/>
              </w:rPr>
            </w:pPr>
            <w:r>
              <w:rPr>
                <w:rFonts w:hint="eastAsia"/>
                <w:b/>
                <w:color w:val="000000" w:themeColor="text1"/>
                <w:sz w:val="20"/>
                <w:szCs w:val="20"/>
              </w:rPr>
              <w:t>2.顾客满意</w:t>
            </w:r>
            <w:r>
              <w:rPr>
                <w:rFonts w:hint="eastAsia"/>
                <w:b/>
                <w:color w:val="000000" w:themeColor="text1"/>
                <w:sz w:val="20"/>
                <w:szCs w:val="20"/>
                <w:lang w:val="en-US" w:eastAsia="zh-CN"/>
              </w:rPr>
              <w:t xml:space="preserve"> </w:t>
            </w:r>
          </w:p>
          <w:p>
            <w:pPr>
              <w:spacing w:line="240" w:lineRule="exact"/>
              <w:ind w:left="100" w:hanging="105" w:hangingChars="50"/>
              <w:rPr>
                <w:rFonts w:hint="eastAsia" w:eastAsia="宋体"/>
                <w:b/>
                <w:color w:val="000000" w:themeColor="text1"/>
                <w:sz w:val="20"/>
                <w:szCs w:val="20"/>
                <w:lang w:val="en-US" w:eastAsia="zh-CN"/>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2020年</w:t>
            </w:r>
            <w:r>
              <w:rPr>
                <w:rFonts w:hint="eastAsia" w:ascii="宋体" w:hAnsi="宋体" w:cs="宋体"/>
                <w:color w:val="000000"/>
                <w:szCs w:val="21"/>
                <w:lang w:val="en-US" w:eastAsia="zh-CN"/>
              </w:rPr>
              <w:t>8</w:t>
            </w:r>
            <w:r>
              <w:rPr>
                <w:rFonts w:hint="eastAsia" w:ascii="宋体" w:hAnsi="宋体" w:cs="宋体"/>
                <w:color w:val="000000"/>
                <w:szCs w:val="21"/>
              </w:rPr>
              <w:t>月实施，满意度评价98</w:t>
            </w:r>
            <w:r>
              <w:rPr>
                <w:rFonts w:hint="eastAsia" w:ascii="宋体" w:hAnsi="宋体" w:cs="宋体"/>
                <w:color w:val="000000"/>
                <w:szCs w:val="21"/>
                <w:lang w:eastAsia="zh-CN"/>
              </w:rPr>
              <w:t>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z w:val="20"/>
                <w:szCs w:val="20"/>
              </w:rPr>
            </w:pPr>
            <w:r>
              <w:rPr>
                <w:rFonts w:hint="eastAsia" w:ascii="宋体" w:hAnsi="宋体" w:cs="宋体"/>
                <w:color w:val="000000"/>
                <w:szCs w:val="21"/>
              </w:rPr>
              <w:t>建立有《内部审核控制程序》，规定了内审频次一年一次，内审时间：</w:t>
            </w:r>
            <w:r>
              <w:rPr>
                <w:rFonts w:hint="eastAsia" w:ascii="宋体" w:hAnsi="宋体"/>
                <w:szCs w:val="21"/>
              </w:rPr>
              <w:t>2020年08月</w:t>
            </w:r>
            <w:r>
              <w:rPr>
                <w:rFonts w:hint="eastAsia" w:ascii="宋体" w:hAnsi="宋体"/>
                <w:szCs w:val="21"/>
                <w:lang w:val="en-US" w:eastAsia="zh-CN"/>
              </w:rPr>
              <w:t>23</w:t>
            </w:r>
            <w:r>
              <w:rPr>
                <w:rFonts w:hint="eastAsia" w:ascii="宋体" w:hAnsi="宋体"/>
                <w:szCs w:val="21"/>
              </w:rPr>
              <w:t>日</w:t>
            </w:r>
            <w:r>
              <w:rPr>
                <w:rFonts w:hint="eastAsia" w:ascii="宋体" w:hAnsi="宋体" w:cs="宋体"/>
                <w:color w:val="000000"/>
                <w:szCs w:val="21"/>
              </w:rPr>
              <w:t xml:space="preserve">，拟定了审核实施表，明确了内审范围，内审人员经培训合格上岗，能力满足要求，未出现审核本部门情况，内审不符合项1项， </w:t>
            </w:r>
            <w:r>
              <w:rPr>
                <w:rFonts w:hint="eastAsia" w:ascii="宋体" w:hAnsi="宋体"/>
                <w:szCs w:val="21"/>
              </w:rPr>
              <w:t>涉及</w:t>
            </w:r>
            <w:r>
              <w:rPr>
                <w:rFonts w:hint="eastAsia" w:ascii="宋体" w:hAnsi="宋体"/>
                <w:szCs w:val="21"/>
                <w:lang w:eastAsia="zh-CN"/>
              </w:rPr>
              <w:t>行政部</w:t>
            </w:r>
            <w:r>
              <w:rPr>
                <w:rFonts w:hint="eastAsia" w:ascii="宋体" w:hAnsi="宋体" w:cs="宋体"/>
                <w:color w:val="000000"/>
              </w:rPr>
              <w:t>在内审员培训</w:t>
            </w:r>
            <w:r>
              <w:rPr>
                <w:rFonts w:hint="eastAsia" w:ascii="宋体" w:hAnsi="宋体" w:cs="宋体"/>
                <w:color w:val="000000"/>
                <w:lang w:eastAsia="zh-CN"/>
              </w:rPr>
              <w:t>时</w:t>
            </w:r>
            <w:r>
              <w:rPr>
                <w:rFonts w:hint="eastAsia" w:ascii="宋体" w:hAnsi="宋体" w:cs="宋体"/>
                <w:color w:val="000000"/>
              </w:rPr>
              <w:t>未查见相关培训记录</w:t>
            </w:r>
            <w:r>
              <w:rPr>
                <w:rFonts w:hint="eastAsia" w:ascii="宋体" w:hAnsi="宋体" w:cs="宋体"/>
                <w:color w:val="000000"/>
                <w:lang w:eastAsia="zh-CN"/>
              </w:rPr>
              <w:t>，</w:t>
            </w:r>
            <w:r>
              <w:rPr>
                <w:rFonts w:hint="eastAsia" w:ascii="宋体" w:hAnsi="宋体" w:cs="宋体"/>
                <w:color w:val="000000"/>
              </w:rPr>
              <w:t>不符合7.2条款</w:t>
            </w:r>
            <w:r>
              <w:rPr>
                <w:rFonts w:hint="eastAsia" w:ascii="宋体" w:hAnsi="宋体"/>
                <w:szCs w:val="21"/>
              </w:rPr>
              <w:t>，针对该不符合项，已及时采取纠正措施后，经内审员验证关闭。</w:t>
            </w:r>
            <w:r>
              <w:rPr>
                <w:rFonts w:hint="eastAsia" w:ascii="宋体" w:hAnsi="宋体" w:cs="宋体"/>
                <w:color w:val="000000"/>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szCs w:val="22"/>
              </w:rPr>
              <w:t>2020年09月</w:t>
            </w:r>
            <w:r>
              <w:rPr>
                <w:rFonts w:hint="eastAsia"/>
                <w:szCs w:val="22"/>
                <w:lang w:val="en-US" w:eastAsia="zh-CN"/>
              </w:rPr>
              <w:t>15</w:t>
            </w:r>
            <w:r>
              <w:rPr>
                <w:rFonts w:hint="eastAsia"/>
                <w:szCs w:val="22"/>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val="en-US" w:eastAsia="zh-CN"/>
              </w:rPr>
              <w:t xml:space="preserve">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rFonts w:hint="eastAsia" w:eastAsia="宋体"/>
                <w:b/>
                <w:color w:val="000000" w:themeColor="text1"/>
                <w:szCs w:val="21"/>
                <w:lang w:val="en-US" w:eastAsia="zh-CN"/>
              </w:rPr>
            </w:pPr>
            <w:r>
              <w:rPr>
                <w:rFonts w:hint="eastAsia"/>
                <w:b/>
                <w:color w:val="000000" w:themeColor="text1"/>
                <w:szCs w:val="21"/>
                <w:lang w:val="en-US" w:eastAsia="zh-CN"/>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w:t>
      </w:r>
      <w:r>
        <w:rPr>
          <w:rFonts w:hint="eastAsia"/>
          <w:b/>
          <w:color w:val="000000" w:themeColor="text1"/>
          <w:lang w:val="en-US" w:eastAsia="zh-CN"/>
        </w:rPr>
        <w:t>业务</w:t>
      </w:r>
      <w:r>
        <w:rPr>
          <w:rFonts w:hint="eastAsia"/>
          <w:b/>
          <w:color w:val="000000" w:themeColor="text1"/>
        </w:rPr>
        <w:t>部门条款</w:t>
      </w:r>
      <w:r>
        <w:rPr>
          <w:rFonts w:hint="eastAsia"/>
          <w:b/>
          <w:color w:val="000000" w:themeColor="text1"/>
          <w:lang w:val="en-US" w:eastAsia="zh-CN"/>
        </w:rPr>
        <w:t>8.4.1</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黑体" w:hAnsi="黑体" w:eastAsia="黑体" w:cs="黑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eastAsia="宋体"/>
          <w:b/>
          <w:color w:val="000000" w:themeColor="text1"/>
          <w:lang w:eastAsia="zh-CN"/>
        </w:rPr>
      </w:pPr>
      <w:r>
        <w:rPr>
          <w:rFonts w:hint="eastAsia"/>
          <w:b/>
          <w:color w:val="000000" w:themeColor="text1"/>
        </w:rPr>
        <w:t>八、已识别出的任何未解决的问题：</w:t>
      </w:r>
      <w:r>
        <w:rPr>
          <w:rFonts w:hint="eastAsia"/>
          <w:b/>
          <w:color w:val="000000" w:themeColor="text1"/>
          <w:lang w:eastAsia="zh-CN"/>
        </w:rPr>
        <w:t>无</w:t>
      </w:r>
      <w:bookmarkStart w:id="22" w:name="_GoBack"/>
      <w:bookmarkEnd w:id="22"/>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黑体" w:hAnsi="黑体" w:eastAsia="黑体" w:cs="黑体"/>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rFonts w:hint="eastAsia" w:eastAsia="宋体"/>
                <w:b/>
                <w:color w:val="000000" w:themeColor="text1"/>
                <w:lang w:eastAsia="zh-CN"/>
              </w:rPr>
            </w:pPr>
            <w:r>
              <w:rPr>
                <w:rFonts w:hint="eastAsia" w:ascii="黑体" w:hAnsi="黑体" w:eastAsia="黑体" w:cs="黑体"/>
                <w:b/>
                <w:color w:val="000000" w:themeColor="text1"/>
                <w:spacing w:val="-10"/>
                <w:szCs w:val="21"/>
              </w:rPr>
              <w:t>■</w:t>
            </w:r>
            <w:r>
              <w:rPr>
                <w:rFonts w:hint="eastAsia"/>
                <w:b/>
                <w:color w:val="000000" w:themeColor="text1"/>
              </w:rPr>
              <w:t>审核范围变更，</w:t>
            </w:r>
            <w:r>
              <w:rPr>
                <w:rFonts w:hint="eastAsia"/>
                <w:b/>
                <w:color w:val="000000" w:themeColor="text1"/>
                <w:lang w:eastAsia="zh-CN"/>
              </w:rPr>
              <w:t>原申请范围为：</w:t>
            </w:r>
            <w:r>
              <w:rPr>
                <w:rFonts w:hint="eastAsia" w:ascii="宋体" w:hAnsi="宋体"/>
                <w:b/>
                <w:color w:val="000000" w:themeColor="text1"/>
                <w:lang w:eastAsia="zh-CN"/>
              </w:rPr>
              <w:t>资质范围内普通货运，货物专用运输；现变更为：资质范围内普通货运</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rFonts w:hint="eastAsia" w:ascii="宋体" w:hAnsi="宋体"/>
                <w:b/>
                <w:color w:val="000000" w:themeColor="text1"/>
                <w:lang w:eastAsia="zh-CN"/>
              </w:rPr>
              <w:t>资质范围内普通货运</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黑体" w:hAnsi="黑体" w:eastAsia="黑体" w:cs="黑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黑体" w:hAnsi="黑体" w:eastAsia="黑体" w:cs="黑体"/>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3360" behindDoc="0" locked="0" layoutInCell="1" allowOverlap="1">
            <wp:simplePos x="0" y="0"/>
            <wp:positionH relativeFrom="column">
              <wp:posOffset>1653540</wp:posOffset>
            </wp:positionH>
            <wp:positionV relativeFrom="paragraph">
              <wp:posOffset>363220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2" w:firstLineChars="250"/>
        <w:rPr>
          <w:b/>
          <w:color w:val="000000" w:themeColor="text1"/>
        </w:rPr>
      </w:pPr>
      <w:r>
        <w:rPr>
          <w:rFonts w:hint="eastAsia"/>
          <w:b/>
          <w:sz w:val="22"/>
          <w:szCs w:val="22"/>
        </w:rPr>
        <w:drawing>
          <wp:anchor distT="0" distB="0" distL="114300" distR="114300" simplePos="0" relativeHeight="251667456" behindDoc="0" locked="0" layoutInCell="1" allowOverlap="1">
            <wp:simplePos x="0" y="0"/>
            <wp:positionH relativeFrom="column">
              <wp:posOffset>1637030</wp:posOffset>
            </wp:positionH>
            <wp:positionV relativeFrom="paragraph">
              <wp:posOffset>197485</wp:posOffset>
            </wp:positionV>
            <wp:extent cx="422910" cy="320040"/>
            <wp:effectExtent l="0" t="0" r="15240" b="381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after="156" w:afterLines="50" w:line="360" w:lineRule="auto"/>
        <w:ind w:left="-10" w:leftChars="-32" w:hanging="57" w:hangingChars="26"/>
        <w:rPr>
          <w:rFonts w:hint="default" w:eastAsia="宋体"/>
          <w:b/>
          <w:color w:val="000000" w:themeColor="text1"/>
          <w:sz w:val="26"/>
          <w:szCs w:val="26"/>
          <w:lang w:val="en-US" w:eastAsia="zh-CN"/>
        </w:rPr>
      </w:pPr>
      <w:r>
        <w:rPr>
          <w:rFonts w:hint="eastAsia" w:eastAsia="宋体"/>
          <w:sz w:val="22"/>
          <w:szCs w:val="22"/>
          <w:lang w:eastAsia="zh-CN"/>
        </w:rPr>
        <w:drawing>
          <wp:anchor distT="0" distB="0" distL="114300" distR="114300" simplePos="0" relativeHeight="251682816" behindDoc="0" locked="0" layoutInCell="1" allowOverlap="1">
            <wp:simplePos x="0" y="0"/>
            <wp:positionH relativeFrom="column">
              <wp:posOffset>2279015</wp:posOffset>
            </wp:positionH>
            <wp:positionV relativeFrom="paragraph">
              <wp:posOffset>24130</wp:posOffset>
            </wp:positionV>
            <wp:extent cx="441960" cy="297180"/>
            <wp:effectExtent l="0" t="0" r="15240" b="7620"/>
            <wp:wrapNone/>
            <wp:docPr id="12"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6bc8d82232cd8bc6519fc4dcd21ee2"/>
                    <pic:cNvPicPr>
                      <a:picLocks noChangeAspect="1"/>
                    </pic:cNvPicPr>
                  </pic:nvPicPr>
                  <pic:blipFill>
                    <a:blip r:embed="rId8"/>
                    <a:stretch>
                      <a:fillRect/>
                    </a:stretch>
                  </pic:blipFill>
                  <pic:spPr>
                    <a:xfrm>
                      <a:off x="0" y="0"/>
                      <a:ext cx="441960" cy="297180"/>
                    </a:xfrm>
                    <a:prstGeom prst="rect">
                      <a:avLst/>
                    </a:prstGeom>
                  </pic:spPr>
                </pic:pic>
              </a:graphicData>
            </a:graphic>
          </wp:anchor>
        </w:drawing>
      </w: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ascii="黑体" w:hAnsi="黑体" w:eastAsia="黑体" w:cs="黑体"/>
          <w:b/>
          <w:color w:val="000000" w:themeColor="text1"/>
          <w:spacing w:val="-10"/>
          <w:szCs w:val="21"/>
        </w:rPr>
        <w:t>■</w:t>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ascii="黑体" w:hAnsi="黑体" w:eastAsia="黑体" w:cs="黑体"/>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黑体" w:hAnsi="黑体" w:eastAsia="黑体" w:cs="黑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88960" behindDoc="0" locked="0" layoutInCell="1" allowOverlap="1">
            <wp:simplePos x="0" y="0"/>
            <wp:positionH relativeFrom="column">
              <wp:posOffset>718185</wp:posOffset>
            </wp:positionH>
            <wp:positionV relativeFrom="paragraph">
              <wp:posOffset>107950</wp:posOffset>
            </wp:positionV>
            <wp:extent cx="323850" cy="335280"/>
            <wp:effectExtent l="0" t="0" r="0" b="7620"/>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837082"/>
    <w:rsid w:val="02DF46FA"/>
    <w:rsid w:val="03984DF5"/>
    <w:rsid w:val="066275C5"/>
    <w:rsid w:val="06C07665"/>
    <w:rsid w:val="076D0A83"/>
    <w:rsid w:val="07A31024"/>
    <w:rsid w:val="08A153E7"/>
    <w:rsid w:val="08BF7247"/>
    <w:rsid w:val="09693C67"/>
    <w:rsid w:val="0A650212"/>
    <w:rsid w:val="0D524B0C"/>
    <w:rsid w:val="0F4D5429"/>
    <w:rsid w:val="0F560A99"/>
    <w:rsid w:val="10014534"/>
    <w:rsid w:val="107F68E8"/>
    <w:rsid w:val="10A605E5"/>
    <w:rsid w:val="11775ACD"/>
    <w:rsid w:val="131D66DD"/>
    <w:rsid w:val="13553639"/>
    <w:rsid w:val="14575F9E"/>
    <w:rsid w:val="1482701E"/>
    <w:rsid w:val="14C35A27"/>
    <w:rsid w:val="1500307F"/>
    <w:rsid w:val="15346A67"/>
    <w:rsid w:val="15746D0E"/>
    <w:rsid w:val="15B25C7A"/>
    <w:rsid w:val="160E6977"/>
    <w:rsid w:val="1681432B"/>
    <w:rsid w:val="197E111B"/>
    <w:rsid w:val="1C0D71C1"/>
    <w:rsid w:val="1E5C531A"/>
    <w:rsid w:val="1E7F40AF"/>
    <w:rsid w:val="1F892E4F"/>
    <w:rsid w:val="206209F4"/>
    <w:rsid w:val="237F3E77"/>
    <w:rsid w:val="23B14BBD"/>
    <w:rsid w:val="240E4642"/>
    <w:rsid w:val="245A6B45"/>
    <w:rsid w:val="24D97DF6"/>
    <w:rsid w:val="24FF6061"/>
    <w:rsid w:val="25707C54"/>
    <w:rsid w:val="26720966"/>
    <w:rsid w:val="26954DC7"/>
    <w:rsid w:val="27F45E92"/>
    <w:rsid w:val="283158EE"/>
    <w:rsid w:val="291F48BD"/>
    <w:rsid w:val="298E3B3D"/>
    <w:rsid w:val="2B0D23C5"/>
    <w:rsid w:val="2B201D45"/>
    <w:rsid w:val="2C142CED"/>
    <w:rsid w:val="2C422717"/>
    <w:rsid w:val="2D0046BA"/>
    <w:rsid w:val="2E5F0227"/>
    <w:rsid w:val="2F205800"/>
    <w:rsid w:val="2F6D4F7F"/>
    <w:rsid w:val="2F9D4AC6"/>
    <w:rsid w:val="2FB74D65"/>
    <w:rsid w:val="30A013BE"/>
    <w:rsid w:val="31127E8C"/>
    <w:rsid w:val="31C4378C"/>
    <w:rsid w:val="31E3471B"/>
    <w:rsid w:val="331775B3"/>
    <w:rsid w:val="34AE6D07"/>
    <w:rsid w:val="381D6EDE"/>
    <w:rsid w:val="39674FBA"/>
    <w:rsid w:val="3B46560D"/>
    <w:rsid w:val="3B6B71D4"/>
    <w:rsid w:val="3C901A3A"/>
    <w:rsid w:val="3CAA5EBA"/>
    <w:rsid w:val="3CD9052E"/>
    <w:rsid w:val="3DF269DE"/>
    <w:rsid w:val="3F422490"/>
    <w:rsid w:val="3F762C37"/>
    <w:rsid w:val="3FA347FB"/>
    <w:rsid w:val="3FE32245"/>
    <w:rsid w:val="45862055"/>
    <w:rsid w:val="464C645E"/>
    <w:rsid w:val="46AA296A"/>
    <w:rsid w:val="48AB30C3"/>
    <w:rsid w:val="4A13716E"/>
    <w:rsid w:val="4A955B7A"/>
    <w:rsid w:val="4C8B137B"/>
    <w:rsid w:val="4CEB13B0"/>
    <w:rsid w:val="4E006887"/>
    <w:rsid w:val="4E210B67"/>
    <w:rsid w:val="4ED212B7"/>
    <w:rsid w:val="4FCB69A9"/>
    <w:rsid w:val="500F67AE"/>
    <w:rsid w:val="50513F69"/>
    <w:rsid w:val="50D90CA2"/>
    <w:rsid w:val="51526597"/>
    <w:rsid w:val="51771D7B"/>
    <w:rsid w:val="51FA3995"/>
    <w:rsid w:val="52622A67"/>
    <w:rsid w:val="54363EC5"/>
    <w:rsid w:val="5476086E"/>
    <w:rsid w:val="555C1DF5"/>
    <w:rsid w:val="55B17456"/>
    <w:rsid w:val="56485598"/>
    <w:rsid w:val="57694F3B"/>
    <w:rsid w:val="57D34558"/>
    <w:rsid w:val="59E30717"/>
    <w:rsid w:val="5A711589"/>
    <w:rsid w:val="5C065281"/>
    <w:rsid w:val="5C6C6FA6"/>
    <w:rsid w:val="5D402413"/>
    <w:rsid w:val="5EE34476"/>
    <w:rsid w:val="5FE86442"/>
    <w:rsid w:val="60ED2AF8"/>
    <w:rsid w:val="618513EC"/>
    <w:rsid w:val="62197397"/>
    <w:rsid w:val="6255363E"/>
    <w:rsid w:val="627B4A93"/>
    <w:rsid w:val="63B14480"/>
    <w:rsid w:val="643A15AF"/>
    <w:rsid w:val="67385210"/>
    <w:rsid w:val="68EC14AE"/>
    <w:rsid w:val="695B0694"/>
    <w:rsid w:val="6A6F17A9"/>
    <w:rsid w:val="6B6C7FD0"/>
    <w:rsid w:val="6B9210EC"/>
    <w:rsid w:val="6CC06EEA"/>
    <w:rsid w:val="6D4D01D5"/>
    <w:rsid w:val="6E7C3E7E"/>
    <w:rsid w:val="6FC87B38"/>
    <w:rsid w:val="6FE35741"/>
    <w:rsid w:val="712C61F5"/>
    <w:rsid w:val="729D4FF3"/>
    <w:rsid w:val="72AD0E66"/>
    <w:rsid w:val="72DF571C"/>
    <w:rsid w:val="737400AE"/>
    <w:rsid w:val="73870038"/>
    <w:rsid w:val="74647EC6"/>
    <w:rsid w:val="755D0342"/>
    <w:rsid w:val="756A6F35"/>
    <w:rsid w:val="76472C02"/>
    <w:rsid w:val="76521DF6"/>
    <w:rsid w:val="766001E5"/>
    <w:rsid w:val="776E5E7F"/>
    <w:rsid w:val="77C30326"/>
    <w:rsid w:val="79FF3F79"/>
    <w:rsid w:val="7B34346E"/>
    <w:rsid w:val="7C047562"/>
    <w:rsid w:val="7CC31A67"/>
    <w:rsid w:val="7DA251B5"/>
    <w:rsid w:val="7E1451CF"/>
    <w:rsid w:val="7E271E0F"/>
    <w:rsid w:val="7EA61602"/>
    <w:rsid w:val="7F481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2021-01-09T12:34:15Z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