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w:t>
      </w:r>
      <w:r>
        <w:rPr>
          <w:rFonts w:hint="eastAsia"/>
          <w:sz w:val="24"/>
          <w:szCs w:val="24"/>
          <w:lang w:eastAsia="zh-CN"/>
        </w:rPr>
        <w:t>行政部、</w:t>
      </w:r>
      <w:r>
        <w:rPr>
          <w:rFonts w:hint="eastAsia"/>
          <w:sz w:val="24"/>
          <w:szCs w:val="24"/>
          <w:lang w:val="en-US" w:eastAsia="zh-CN"/>
        </w:rPr>
        <w:t>生产部、营销部</w:t>
      </w:r>
      <w:r>
        <w:rPr>
          <w:rFonts w:hint="eastAsia"/>
          <w:sz w:val="24"/>
          <w:szCs w:val="24"/>
          <w:lang w:eastAsia="zh-CN"/>
        </w:rPr>
        <w:t>，</w:t>
      </w:r>
      <w:r>
        <w:rPr>
          <w:rFonts w:hint="eastAsia"/>
          <w:sz w:val="24"/>
          <w:szCs w:val="24"/>
        </w:rPr>
        <w:t>陪同人员：</w:t>
      </w:r>
      <w:r>
        <w:rPr>
          <w:rFonts w:hint="eastAsia"/>
          <w:sz w:val="24"/>
          <w:szCs w:val="24"/>
          <w:lang w:val="en-US" w:eastAsia="zh-CN"/>
        </w:rPr>
        <w:t>袁业波，</w:t>
      </w:r>
      <w:r>
        <w:rPr>
          <w:rFonts w:hint="eastAsia"/>
          <w:sz w:val="24"/>
          <w:szCs w:val="24"/>
        </w:rPr>
        <w:t>审核员：</w:t>
      </w:r>
      <w:r>
        <w:rPr>
          <w:rFonts w:hint="eastAsia"/>
          <w:sz w:val="24"/>
          <w:szCs w:val="24"/>
          <w:lang w:eastAsia="zh-CN"/>
        </w:rPr>
        <w:t>张心，</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9</w:t>
      </w:r>
      <w:r>
        <w:rPr>
          <w:rFonts w:hint="eastAsia"/>
          <w:sz w:val="24"/>
          <w:szCs w:val="24"/>
        </w:rPr>
        <w:t>日</w:t>
      </w:r>
    </w:p>
    <w:tbl>
      <w:tblPr>
        <w:tblStyle w:val="9"/>
        <w:tblW w:w="151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审核员</w:t>
            </w:r>
          </w:p>
        </w:tc>
        <w:tc>
          <w:tcPr>
            <w:tcW w:w="9749" w:type="dxa"/>
            <w:shd w:val="clear" w:color="auto" w:fill="E6E6E6"/>
            <w:noWrap/>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宋明珠</w:t>
            </w:r>
          </w:p>
        </w:tc>
        <w:tc>
          <w:tcPr>
            <w:tcW w:w="893" w:type="dxa"/>
            <w:shd w:val="clear" w:color="auto" w:fill="E6E6E6"/>
            <w:noWrap/>
            <w:vAlign w:val="center"/>
          </w:tcPr>
          <w:p>
            <w:pPr>
              <w:spacing w:line="0" w:lineRule="atLeast"/>
              <w:jc w:val="center"/>
              <w:rPr>
                <w:rFonts w:hint="eastAsia" w:ascii="宋体" w:hAnsi="宋体"/>
                <w:szCs w:val="21"/>
              </w:rPr>
            </w:pPr>
          </w:p>
        </w:tc>
        <w:tc>
          <w:tcPr>
            <w:tcW w:w="800" w:type="dxa"/>
            <w:shd w:val="clear" w:color="auto" w:fill="E6E6E6"/>
            <w:noWrap/>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hint="default" w:ascii="宋体" w:hAnsi="宋体" w:eastAsia="宋体"/>
                <w:szCs w:val="21"/>
                <w:lang w:val="en-US" w:eastAsia="zh-CN"/>
              </w:rPr>
            </w:pPr>
            <w:r>
              <w:rPr>
                <w:rFonts w:hint="eastAsia"/>
                <w:color w:val="000000"/>
                <w:szCs w:val="21"/>
                <w:lang w:eastAsia="zh-CN"/>
              </w:rPr>
              <w:t>绵竹市德树木材加工厂</w:t>
            </w:r>
            <w:r>
              <w:rPr>
                <w:rFonts w:hint="eastAsia" w:ascii="宋体" w:hAnsi="宋体"/>
                <w:szCs w:val="21"/>
                <w:lang w:val="en-US" w:eastAsia="zh-CN"/>
              </w:rPr>
              <w:t>成立于2003年。主营产品：各种木质包装箱、木托盘、木板、木方、木条的加工，层积材、胶合板的生产（需资质的除外）等。现有员工42人，目前经营情况良好。</w:t>
            </w:r>
          </w:p>
          <w:p>
            <w:pPr>
              <w:spacing w:line="400" w:lineRule="exact"/>
              <w:ind w:firstLine="420" w:firstLineChars="200"/>
              <w:jc w:val="left"/>
              <w:rPr>
                <w:rFonts w:hint="eastAsia"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w:t>
            </w:r>
            <w:r>
              <w:rPr>
                <w:rFonts w:hint="eastAsia" w:ascii="宋体" w:hAnsi="宋体"/>
                <w:szCs w:val="21"/>
                <w:lang w:eastAsia="zh-CN"/>
              </w:rPr>
              <w:t>行政部</w:t>
            </w:r>
            <w:r>
              <w:rPr>
                <w:rFonts w:hint="eastAsia" w:ascii="宋体" w:hAnsi="宋体"/>
                <w:szCs w:val="21"/>
              </w:rPr>
              <w:t>、</w:t>
            </w:r>
            <w:r>
              <w:rPr>
                <w:rFonts w:hint="eastAsia"/>
                <w:sz w:val="24"/>
                <w:szCs w:val="24"/>
                <w:lang w:val="en-US" w:eastAsia="zh-CN"/>
              </w:rPr>
              <w:t>生产部</w:t>
            </w:r>
            <w:r>
              <w:rPr>
                <w:rFonts w:hint="eastAsia" w:ascii="宋体" w:hAnsi="宋体"/>
                <w:szCs w:val="21"/>
                <w:lang w:val="en-US" w:eastAsia="zh-CN"/>
              </w:rPr>
              <w:t>、营销</w:t>
            </w:r>
            <w:r>
              <w:rPr>
                <w:rFonts w:hint="eastAsia" w:ascii="宋体" w:hAnsi="宋体"/>
                <w:szCs w:val="21"/>
                <w:lang w:eastAsia="zh-CN"/>
              </w:rPr>
              <w:t>部。</w:t>
            </w:r>
          </w:p>
          <w:p>
            <w:pPr>
              <w:spacing w:line="400" w:lineRule="exact"/>
              <w:ind w:firstLine="420" w:firstLineChars="200"/>
              <w:jc w:val="left"/>
              <w:rPr>
                <w:rFonts w:hint="eastAsia"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hint="eastAsia" w:ascii="宋体" w:hAnsi="宋体"/>
                <w:szCs w:val="21"/>
                <w:lang w:eastAsia="zh-CN"/>
              </w:rPr>
            </w:pPr>
            <w:r>
              <w:rPr>
                <w:rFonts w:hint="eastAsia" w:ascii="宋体" w:hAnsi="宋体"/>
                <w:szCs w:val="21"/>
              </w:rPr>
              <w:t>经</w:t>
            </w:r>
            <w:r>
              <w:rPr>
                <w:rFonts w:hint="eastAsia" w:ascii="宋体" w:hAnsi="宋体"/>
                <w:szCs w:val="21"/>
                <w:lang w:eastAsia="zh-CN"/>
              </w:rPr>
              <w:t>现场审核</w:t>
            </w:r>
            <w:r>
              <w:rPr>
                <w:rFonts w:hint="eastAsia" w:ascii="宋体" w:hAnsi="宋体"/>
                <w:szCs w:val="21"/>
              </w:rPr>
              <w:t>核实：任务书场所位于</w:t>
            </w:r>
            <w:bookmarkStart w:id="0" w:name="生产地址"/>
            <w:r>
              <w:rPr>
                <w:rFonts w:hint="eastAsia" w:ascii="宋体" w:hAnsi="宋体"/>
                <w:szCs w:val="21"/>
                <w:lang w:eastAsia="zh-CN"/>
              </w:rPr>
              <w:t>四川省绵竹市孝德镇斗峰村/四川省德阳市旌阳区柏隆镇南桂村一组</w:t>
            </w:r>
            <w:bookmarkEnd w:id="0"/>
            <w:r>
              <w:rPr>
                <w:rFonts w:hint="eastAsia" w:ascii="宋体" w:hAnsi="宋体"/>
                <w:szCs w:val="21"/>
                <w:lang w:eastAsia="zh-CN"/>
              </w:rPr>
              <w:t>，与任务书一致。</w:t>
            </w:r>
          </w:p>
          <w:p>
            <w:pPr>
              <w:spacing w:line="400" w:lineRule="exact"/>
              <w:ind w:firstLine="420" w:firstLineChars="200"/>
              <w:jc w:val="left"/>
              <w:rPr>
                <w:rFonts w:hint="eastAsia" w:ascii="宋体" w:hAnsi="宋体"/>
                <w:szCs w:val="21"/>
              </w:rPr>
            </w:pPr>
            <w:r>
              <w:rPr>
                <w:rFonts w:hint="eastAsia" w:ascii="宋体" w:hAnsi="宋体"/>
                <w:szCs w:val="21"/>
              </w:rPr>
              <w:t>经确认，认证范围为：</w:t>
            </w:r>
            <w:r>
              <w:rPr>
                <w:rFonts w:hint="eastAsia" w:ascii="宋体" w:hAnsi="宋体"/>
                <w:szCs w:val="21"/>
                <w:lang w:eastAsia="zh-CN"/>
              </w:rPr>
              <w:t>木质包装箱、木托盘、木板、木方、木条的加工，层积材、胶合板的生产（需资质的除外）</w:t>
            </w:r>
            <w:r>
              <w:rPr>
                <w:rFonts w:hint="eastAsia" w:ascii="宋体" w:hAnsi="宋体"/>
                <w:szCs w:val="21"/>
              </w:rPr>
              <w:t xml:space="preserve"> ，与申请范围一致。</w:t>
            </w:r>
          </w:p>
          <w:p>
            <w:pPr>
              <w:spacing w:line="400" w:lineRule="exact"/>
              <w:ind w:firstLine="420" w:firstLineChars="200"/>
              <w:jc w:val="left"/>
              <w:rPr>
                <w:rFonts w:hint="eastAsia" w:ascii="宋体" w:hAnsi="宋体"/>
                <w:szCs w:val="21"/>
              </w:rPr>
            </w:pPr>
            <w:r>
              <w:rPr>
                <w:rFonts w:hint="eastAsia" w:ascii="宋体" w:hAnsi="宋体"/>
                <w:szCs w:val="21"/>
              </w:rPr>
              <w:t>经确认，企业人数为</w:t>
            </w:r>
            <w:r>
              <w:rPr>
                <w:rFonts w:hint="eastAsia" w:ascii="宋体" w:hAnsi="宋体"/>
                <w:szCs w:val="21"/>
                <w:lang w:val="en-US" w:eastAsia="zh-CN"/>
              </w:rPr>
              <w:t>42</w:t>
            </w:r>
            <w:r>
              <w:rPr>
                <w:rFonts w:hint="eastAsia" w:ascii="宋体" w:hAnsi="宋体"/>
                <w:szCs w:val="21"/>
              </w:rPr>
              <w:t>人，与申报一致</w:t>
            </w:r>
          </w:p>
          <w:p>
            <w:pPr>
              <w:spacing w:line="400" w:lineRule="exact"/>
              <w:ind w:firstLine="420" w:firstLineChars="200"/>
              <w:jc w:val="left"/>
              <w:rPr>
                <w:rFonts w:hint="eastAsia" w:ascii="宋体" w:hAnsi="宋体"/>
                <w:szCs w:val="21"/>
                <w:lang w:val="en-US" w:eastAsia="zh-CN"/>
              </w:rPr>
            </w:pPr>
            <w:r>
              <w:rPr>
                <w:rFonts w:hint="eastAsia" w:ascii="宋体" w:hAnsi="宋体"/>
                <w:szCs w:val="21"/>
                <w:lang w:val="en-US" w:eastAsia="zh-CN"/>
              </w:rPr>
              <w:t>询问负责人，主要设备为拆弯机、激光切割机、动平衡机、履带式抛丸机、吊钩式抛丸机、吸尘器、钢板校平机、磨光机、带锯等及电脑和办公设备，关键工序：铺板冷压。确认过程：铺板冷压，也是特殊过程。体系运行时间：2017年8月1日。</w:t>
            </w:r>
          </w:p>
          <w:p>
            <w:pPr>
              <w:spacing w:line="400" w:lineRule="exact"/>
              <w:ind w:firstLine="420" w:firstLineChars="200"/>
              <w:jc w:val="left"/>
              <w:rPr>
                <w:rFonts w:ascii="宋体" w:hAnsi="宋体"/>
                <w:szCs w:val="21"/>
              </w:rPr>
            </w:pPr>
            <w:r>
              <w:rPr>
                <w:rFonts w:hint="eastAsia"/>
                <w:color w:val="auto"/>
                <w:szCs w:val="21"/>
              </w:rPr>
              <w:t>组织实际与管理体系文件化信息描述基本一致。</w:t>
            </w:r>
            <w:r>
              <w:rPr>
                <w:rFonts w:hint="eastAsia" w:ascii="宋体" w:hAnsi="宋体"/>
                <w:color w:val="auto"/>
                <w:szCs w:val="21"/>
              </w:rPr>
              <w:t>有管理层、</w:t>
            </w:r>
            <w:r>
              <w:rPr>
                <w:rFonts w:hint="eastAsia" w:ascii="宋体" w:hAnsi="宋体"/>
                <w:szCs w:val="21"/>
                <w:lang w:eastAsia="zh-CN"/>
              </w:rPr>
              <w:t>行政部</w:t>
            </w:r>
            <w:r>
              <w:rPr>
                <w:rFonts w:hint="eastAsia" w:ascii="宋体" w:hAnsi="宋体"/>
                <w:szCs w:val="21"/>
              </w:rPr>
              <w:t>、</w:t>
            </w:r>
            <w:r>
              <w:rPr>
                <w:rFonts w:hint="eastAsia" w:ascii="宋体" w:hAnsi="宋体"/>
                <w:szCs w:val="21"/>
                <w:lang w:val="en-US" w:eastAsia="zh-CN"/>
              </w:rPr>
              <w:t>生产部、营销</w:t>
            </w:r>
            <w:r>
              <w:rPr>
                <w:rFonts w:hint="eastAsia" w:ascii="宋体" w:hAnsi="宋体"/>
                <w:szCs w:val="21"/>
                <w:lang w:eastAsia="zh-CN"/>
              </w:rPr>
              <w:t>部</w:t>
            </w:r>
            <w:r>
              <w:rPr>
                <w:rFonts w:hint="eastAsia" w:ascii="宋体" w:hAnsi="宋体"/>
                <w:szCs w:val="21"/>
              </w:rPr>
              <w:t>。</w:t>
            </w:r>
          </w:p>
          <w:p>
            <w:pPr>
              <w:spacing w:line="400" w:lineRule="exact"/>
              <w:ind w:firstLine="420" w:firstLineChars="200"/>
              <w:jc w:val="left"/>
              <w:rPr>
                <w:rFonts w:hint="eastAsia"/>
                <w:color w:val="auto"/>
                <w:szCs w:val="21"/>
              </w:rPr>
            </w:pPr>
            <w:r>
              <w:rPr>
                <w:rFonts w:hint="eastAsia"/>
                <w:color w:val="auto"/>
                <w:szCs w:val="21"/>
              </w:rPr>
              <w:t>产品流程见《工艺流程》</w:t>
            </w:r>
          </w:p>
          <w:p>
            <w:pPr>
              <w:spacing w:line="400" w:lineRule="exact"/>
              <w:ind w:firstLine="420" w:firstLineChars="200"/>
              <w:jc w:val="left"/>
              <w:rPr>
                <w:szCs w:val="21"/>
              </w:rPr>
            </w:pPr>
            <w:r>
              <w:rPr>
                <w:rFonts w:hint="eastAsia"/>
                <w:color w:val="auto"/>
                <w:szCs w:val="21"/>
              </w:rPr>
              <w:t>查，管理体系文件名称：质量手册，程序文件</w:t>
            </w:r>
            <w:r>
              <w:rPr>
                <w:rFonts w:hint="eastAsia"/>
                <w:color w:val="auto"/>
                <w:szCs w:val="21"/>
                <w:lang w:val="en-US" w:eastAsia="zh-CN"/>
              </w:rPr>
              <w:t>14</w:t>
            </w:r>
            <w:r>
              <w:rPr>
                <w:rFonts w:hint="eastAsia"/>
                <w:color w:val="auto"/>
                <w:szCs w:val="21"/>
              </w:rPr>
              <w:t>个。</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产品质量监督抽查情况（QMS）</w:t>
            </w:r>
          </w:p>
        </w:tc>
        <w:tc>
          <w:tcPr>
            <w:tcW w:w="9749" w:type="dxa"/>
            <w:noWrap/>
          </w:tcPr>
          <w:p>
            <w:pPr>
              <w:spacing w:line="400" w:lineRule="exact"/>
              <w:rPr>
                <w:rFonts w:hint="eastAsia" w:ascii="宋体" w:hAnsi="宋体" w:cs="Times New Roman"/>
                <w:szCs w:val="21"/>
              </w:rPr>
            </w:pPr>
            <w:r>
              <w:rPr>
                <w:rFonts w:hint="eastAsia" w:ascii="宋体" w:hAnsi="宋体" w:cs="Times New Roman"/>
                <w:szCs w:val="21"/>
              </w:rPr>
              <w:t>中华人民共和国合同法、中华人民共和国劳动法、中华人民共和国安全消防法、中华人民共和国产品质量法、中华人民共和国消费者权益法等</w:t>
            </w:r>
          </w:p>
          <w:p>
            <w:pPr>
              <w:spacing w:line="400" w:lineRule="exact"/>
              <w:rPr>
                <w:rFonts w:hint="eastAsia" w:ascii="宋体" w:hAnsi="宋体" w:cs="Times New Roman"/>
                <w:szCs w:val="21"/>
              </w:rPr>
            </w:pPr>
          </w:p>
          <w:p>
            <w:pPr>
              <w:spacing w:line="400" w:lineRule="exact"/>
              <w:rPr>
                <w:rFonts w:hint="eastAsia" w:ascii="宋体" w:hAnsi="宋体" w:cs="Times New Roman"/>
                <w:szCs w:val="21"/>
                <w:lang w:eastAsia="zh-CN"/>
              </w:rPr>
            </w:pPr>
            <w:r>
              <w:rPr>
                <w:rFonts w:hint="eastAsia" w:ascii="宋体" w:hAnsi="宋体" w:cs="Times New Roman"/>
                <w:szCs w:val="21"/>
              </w:rPr>
              <w:t>中华人民共和国合同法、中华人民共和国劳动法、中华人民共和国安全消防法、中华人民共和国产品质量法、中华人民共和国消费者权益法</w:t>
            </w:r>
            <w:r>
              <w:rPr>
                <w:rFonts w:hint="eastAsia" w:ascii="宋体" w:hAnsi="宋体" w:cs="Times New Roman"/>
                <w:szCs w:val="21"/>
                <w:lang w:val="en-US" w:eastAsia="zh-CN"/>
              </w:rPr>
              <w:t>；</w:t>
            </w:r>
            <w:r>
              <w:rPr>
                <w:rFonts w:hint="eastAsia" w:ascii="宋体" w:hAnsi="宋体" w:cs="Times New Roman"/>
                <w:szCs w:val="21"/>
              </w:rPr>
              <w:t>木材物理力学试验方法总则GB1928—91</w:t>
            </w:r>
            <w:r>
              <w:rPr>
                <w:rFonts w:hint="eastAsia" w:ascii="宋体" w:hAnsi="宋体" w:cs="Times New Roman"/>
                <w:szCs w:val="21"/>
                <w:lang w:eastAsia="zh-CN"/>
              </w:rPr>
              <w:t>、</w:t>
            </w:r>
            <w:r>
              <w:rPr>
                <w:rFonts w:hint="eastAsia" w:ascii="宋体" w:hAnsi="宋体" w:cs="Times New Roman"/>
                <w:szCs w:val="21"/>
              </w:rPr>
              <w:t>木材含水率测定方法GB1931—91</w:t>
            </w:r>
            <w:r>
              <w:rPr>
                <w:rFonts w:hint="eastAsia" w:ascii="宋体" w:hAnsi="宋体" w:cs="Times New Roman"/>
                <w:szCs w:val="21"/>
                <w:lang w:eastAsia="zh-CN"/>
              </w:rPr>
              <w:t>、</w:t>
            </w:r>
            <w:r>
              <w:rPr>
                <w:rFonts w:hint="eastAsia" w:ascii="宋体" w:hAnsi="宋体" w:cs="Times New Roman"/>
                <w:szCs w:val="21"/>
              </w:rPr>
              <w:t>木材密度测定方法GB1933—91</w:t>
            </w:r>
            <w:r>
              <w:rPr>
                <w:rFonts w:hint="eastAsia" w:ascii="宋体" w:hAnsi="宋体" w:cs="Times New Roman"/>
                <w:szCs w:val="21"/>
                <w:lang w:eastAsia="zh-CN"/>
              </w:rPr>
              <w:t>、</w:t>
            </w:r>
            <w:r>
              <w:rPr>
                <w:rFonts w:hint="eastAsia" w:ascii="宋体" w:hAnsi="宋体" w:cs="Times New Roman"/>
                <w:szCs w:val="21"/>
              </w:rPr>
              <w:t>胶合板GB9846.１—88</w:t>
            </w:r>
            <w:r>
              <w:rPr>
                <w:rFonts w:hint="eastAsia" w:ascii="宋体" w:hAnsi="宋体" w:cs="Times New Roman"/>
                <w:szCs w:val="21"/>
                <w:lang w:eastAsia="zh-CN"/>
              </w:rPr>
              <w:t>、</w:t>
            </w:r>
            <w:r>
              <w:rPr>
                <w:rFonts w:hint="eastAsia" w:ascii="宋体" w:hAnsi="宋体" w:cs="Times New Roman"/>
                <w:szCs w:val="21"/>
              </w:rPr>
              <w:t>硬质纤维板GB12626.2—89</w:t>
            </w:r>
            <w:r>
              <w:rPr>
                <w:rFonts w:hint="eastAsia" w:ascii="宋体" w:hAnsi="宋体" w:cs="Times New Roman"/>
                <w:szCs w:val="21"/>
                <w:lang w:eastAsia="zh-CN"/>
              </w:rPr>
              <w:t>、</w:t>
            </w:r>
            <w:r>
              <w:rPr>
                <w:rFonts w:hint="eastAsia" w:ascii="宋体" w:hAnsi="宋体" w:cs="Times New Roman"/>
                <w:szCs w:val="21"/>
              </w:rPr>
              <w:t>平压、挤压刨花板GB4897—92</w:t>
            </w:r>
            <w:r>
              <w:rPr>
                <w:rFonts w:hint="eastAsia" w:ascii="宋体" w:hAnsi="宋体" w:cs="Times New Roman"/>
                <w:szCs w:val="21"/>
                <w:lang w:eastAsia="zh-CN"/>
              </w:rPr>
              <w:t>、</w:t>
            </w:r>
            <w:r>
              <w:rPr>
                <w:rFonts w:hint="eastAsia" w:ascii="宋体" w:hAnsi="宋体" w:cs="Times New Roman"/>
                <w:szCs w:val="21"/>
              </w:rPr>
              <w:t>细木工板GB5850—99</w:t>
            </w:r>
            <w:r>
              <w:rPr>
                <w:rFonts w:hint="eastAsia" w:ascii="宋体" w:hAnsi="宋体" w:cs="Times New Roman"/>
                <w:szCs w:val="21"/>
                <w:lang w:eastAsia="zh-CN"/>
              </w:rPr>
              <w:t>、</w:t>
            </w:r>
            <w:r>
              <w:rPr>
                <w:rFonts w:hint="eastAsia" w:ascii="宋体" w:hAnsi="宋体" w:cs="Times New Roman"/>
                <w:szCs w:val="21"/>
              </w:rPr>
              <w:t>木托盘GB/T2934-1996</w:t>
            </w:r>
            <w:r>
              <w:rPr>
                <w:rFonts w:hint="eastAsia" w:ascii="宋体" w:hAnsi="宋体" w:cs="Times New Roman"/>
                <w:szCs w:val="21"/>
                <w:lang w:eastAsia="zh-CN"/>
              </w:rPr>
              <w:t>、</w:t>
            </w:r>
            <w:r>
              <w:rPr>
                <w:rFonts w:hint="eastAsia" w:ascii="宋体" w:hAnsi="宋体" w:cs="Times New Roman"/>
                <w:szCs w:val="21"/>
                <w:lang w:val="en-US" w:eastAsia="zh-CN"/>
              </w:rPr>
              <w:t>GB/T20241-2006单板层积材</w:t>
            </w:r>
            <w:r>
              <w:rPr>
                <w:rFonts w:hint="eastAsia" w:ascii="宋体" w:hAnsi="宋体" w:cs="Times New Roman"/>
                <w:szCs w:val="21"/>
                <w:lang w:val="en-US" w:eastAsia="zh-CN"/>
              </w:rPr>
              <w:t>等。</w:t>
            </w:r>
          </w:p>
          <w:p>
            <w:pPr>
              <w:spacing w:line="400" w:lineRule="exact"/>
              <w:rPr>
                <w:rFonts w:hint="eastAsia" w:ascii="宋体" w:hAnsi="宋体" w:cs="Times New Roman"/>
                <w:szCs w:val="21"/>
              </w:rPr>
            </w:pPr>
          </w:p>
          <w:p>
            <w:pPr>
              <w:spacing w:line="400" w:lineRule="exact"/>
              <w:rPr>
                <w:rFonts w:hint="eastAsia" w:ascii="宋体" w:hAnsi="宋体" w:cs="Times New Roman"/>
                <w:szCs w:val="21"/>
              </w:rPr>
            </w:pPr>
            <w:r>
              <w:rPr>
                <w:rFonts w:hint="eastAsia" w:ascii="宋体" w:hAnsi="宋体" w:cs="Times New Roman"/>
                <w:szCs w:val="21"/>
                <w:lang w:val="en-US" w:eastAsia="zh-CN"/>
              </w:rPr>
              <w:t>无</w:t>
            </w:r>
          </w:p>
        </w:tc>
        <w:tc>
          <w:tcPr>
            <w:tcW w:w="893" w:type="dxa"/>
            <w:noWrap/>
            <w:vAlign w:val="top"/>
          </w:tcPr>
          <w:p>
            <w:pPr>
              <w:spacing w:line="400" w:lineRule="exact"/>
              <w:rPr>
                <w:rFonts w:hint="eastAsia" w:ascii="宋体" w:hAnsi="宋体" w:cs="Times New Roman"/>
                <w:szCs w:val="21"/>
              </w:rPr>
            </w:pPr>
            <w:r>
              <w:rPr>
                <w:rFonts w:hint="eastAsia" w:ascii="宋体" w:hAnsi="宋体" w:cs="Times New Roman"/>
                <w:szCs w:val="21"/>
              </w:rPr>
              <w:t>Q:6.1.3、9.1.2</w:t>
            </w:r>
          </w:p>
          <w:p>
            <w:pPr>
              <w:spacing w:line="400" w:lineRule="exact"/>
              <w:rPr>
                <w:rFonts w:hint="eastAsia" w:ascii="宋体" w:hAnsi="宋体" w:cs="Times New Roman"/>
                <w:szCs w:val="21"/>
              </w:rPr>
            </w:pPr>
          </w:p>
          <w:p>
            <w:pPr>
              <w:spacing w:line="400" w:lineRule="exact"/>
              <w:rPr>
                <w:rFonts w:hint="eastAsia" w:ascii="宋体" w:hAnsi="宋体" w:cs="Times New Roman"/>
                <w:szCs w:val="21"/>
              </w:rPr>
            </w:pPr>
          </w:p>
          <w:p>
            <w:pPr>
              <w:spacing w:line="400" w:lineRule="exact"/>
              <w:rPr>
                <w:rFonts w:hint="eastAsia" w:ascii="宋体" w:hAnsi="宋体" w:cs="Times New Roman"/>
                <w:szCs w:val="21"/>
              </w:rPr>
            </w:pPr>
          </w:p>
          <w:p>
            <w:pPr>
              <w:spacing w:line="400" w:lineRule="exact"/>
              <w:rPr>
                <w:rFonts w:hint="eastAsia" w:ascii="宋体" w:hAnsi="宋体" w:cs="Times New Roman"/>
                <w:szCs w:val="21"/>
              </w:rPr>
            </w:pPr>
          </w:p>
          <w:p>
            <w:pPr>
              <w:spacing w:line="400" w:lineRule="exact"/>
              <w:rPr>
                <w:rFonts w:hint="eastAsia" w:ascii="宋体" w:hAnsi="宋体" w:cs="Times New Roman"/>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rFonts w:hint="eastAsia"/>
                <w:szCs w:val="21"/>
              </w:rPr>
            </w:pPr>
          </w:p>
          <w:p>
            <w:pPr>
              <w:pStyle w:val="2"/>
              <w:rPr>
                <w:rFonts w:hint="eastAsia"/>
              </w:rPr>
            </w:pPr>
          </w:p>
          <w:p>
            <w:pPr>
              <w:spacing w:line="400" w:lineRule="exact"/>
              <w:rPr>
                <w:szCs w:val="21"/>
              </w:rPr>
            </w:pPr>
            <w:r>
              <w:rPr>
                <w:rFonts w:hint="eastAsia"/>
                <w:szCs w:val="21"/>
              </w:rPr>
              <w:t>外包的识别</w:t>
            </w:r>
          </w:p>
          <w:p>
            <w:pPr>
              <w:spacing w:line="400" w:lineRule="exact"/>
              <w:rPr>
                <w:szCs w:val="21"/>
              </w:rPr>
            </w:pPr>
          </w:p>
          <w:p>
            <w:pPr>
              <w:spacing w:line="400" w:lineRule="exact"/>
              <w:rPr>
                <w:rFonts w:hint="eastAsia"/>
                <w:szCs w:val="21"/>
              </w:rPr>
            </w:pPr>
          </w:p>
          <w:p>
            <w:pPr>
              <w:spacing w:line="400" w:lineRule="exact"/>
              <w:rPr>
                <w:szCs w:val="21"/>
              </w:rPr>
            </w:pPr>
            <w:r>
              <w:rPr>
                <w:rFonts w:hint="eastAsia"/>
                <w:szCs w:val="21"/>
              </w:rPr>
              <w:t>质量目标（QMS）</w:t>
            </w:r>
          </w:p>
        </w:tc>
        <w:tc>
          <w:tcPr>
            <w:tcW w:w="9749" w:type="dxa"/>
            <w:noWrap/>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1、木质包装箱、木托盘、木板、木方、木条的加工：原木---锯料---选料---去树皮，剔除带虫孔，霉变，明显弯曲---制作(根据图纸钉制相应规格木托盘和木包装箱)---检验---入库</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2、层积材、胶合板的生产（需资质的除外）：旋切制板---烘蒸干燥---涂胶---拼接板---铺板冷压---热压---检验---入库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cs="Times New Roman"/>
                <w:sz w:val="21"/>
                <w:szCs w:val="21"/>
                <w:lang w:val="en-US" w:eastAsia="zh-CN"/>
              </w:rPr>
              <w:t>锯料</w:t>
            </w:r>
            <w:r>
              <w:rPr>
                <w:rFonts w:hint="eastAsia" w:ascii="宋体" w:hAnsi="宋体"/>
                <w:sz w:val="21"/>
                <w:szCs w:val="21"/>
                <w:lang w:val="en-US" w:eastAsia="zh-CN"/>
              </w:rPr>
              <w:t>、</w:t>
            </w:r>
            <w:r>
              <w:rPr>
                <w:rFonts w:hint="eastAsia" w:ascii="宋体" w:hAnsi="宋体" w:cs="Times New Roman"/>
                <w:sz w:val="21"/>
                <w:szCs w:val="21"/>
                <w:lang w:val="en-US" w:eastAsia="zh-CN"/>
              </w:rPr>
              <w:t>烘蒸干燥</w:t>
            </w:r>
            <w:r>
              <w:rPr>
                <w:rFonts w:hint="eastAsia" w:ascii="宋体" w:hAnsi="宋体"/>
                <w:sz w:val="21"/>
                <w:szCs w:val="21"/>
                <w:lang w:val="en-US" w:eastAsia="zh-CN"/>
              </w:rPr>
              <w:t>、</w:t>
            </w:r>
            <w:r>
              <w:rPr>
                <w:rFonts w:hint="eastAsia" w:ascii="宋体" w:hAnsi="宋体" w:cs="Times New Roman"/>
                <w:sz w:val="21"/>
                <w:szCs w:val="21"/>
                <w:lang w:val="en-US" w:eastAsia="zh-CN"/>
              </w:rPr>
              <w:t>旋切制板</w:t>
            </w:r>
            <w:r>
              <w:rPr>
                <w:rFonts w:hint="eastAsia" w:ascii="宋体" w:hAnsi="宋体"/>
                <w:sz w:val="21"/>
                <w:szCs w:val="21"/>
                <w:lang w:val="en-US" w:eastAsia="zh-CN"/>
              </w:rPr>
              <w:t>、铺板冷压</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铺板冷压，也是特殊过程</w:t>
            </w:r>
          </w:p>
          <w:p>
            <w:pPr>
              <w:adjustRightInd w:val="0"/>
              <w:snapToGrid w:val="0"/>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外包过程：无。</w:t>
            </w:r>
          </w:p>
          <w:p>
            <w:pPr>
              <w:adjustRightInd w:val="0"/>
              <w:snapToGrid w:val="0"/>
              <w:spacing w:line="400" w:lineRule="exact"/>
              <w:rPr>
                <w:rFonts w:hint="eastAsia" w:ascii="宋体" w:hAnsi="宋体" w:cs="Times New Roman"/>
                <w:sz w:val="21"/>
                <w:szCs w:val="21"/>
                <w:lang w:val="en-US" w:eastAsia="zh-CN"/>
              </w:rPr>
            </w:pP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公司木质包装箱、木托盘、木板、木方、木条的加工，层积材、胶合板的生产（需资质的除外）。公司产品按定型图纸、客户要求及国家相关标准进行生产，产品及生产工艺固定成熟，不涉及设计新产品的过程。因此ISO9001:2015标准条款8.3设计和开发条款不适用；该条款的不适用不影响公司提供满足顾客和适用法律法规要求的产品的能力和责任的要求。</w:t>
            </w:r>
          </w:p>
          <w:p>
            <w:pPr>
              <w:adjustRightInd w:val="0"/>
              <w:snapToGrid w:val="0"/>
              <w:spacing w:line="400" w:lineRule="exact"/>
              <w:rPr>
                <w:rFonts w:hint="eastAsia" w:ascii="宋体" w:hAnsi="宋体" w:cs="Times New Roman"/>
                <w:sz w:val="21"/>
                <w:szCs w:val="21"/>
                <w:lang w:val="en-US" w:eastAsia="zh-CN"/>
              </w:rPr>
            </w:pPr>
          </w:p>
          <w:p>
            <w:pPr>
              <w:pStyle w:val="8"/>
              <w:spacing w:before="0" w:beforeAutospacing="0" w:after="0" w:afterAutospacing="0" w:line="500" w:lineRule="exact"/>
              <w:rPr>
                <w:rFonts w:hint="eastAsia" w:ascii="宋体" w:hAnsi="宋体" w:eastAsia="宋体" w:cs="Times New Roman"/>
                <w:color w:val="auto"/>
                <w:kern w:val="2"/>
                <w:sz w:val="21"/>
                <w:szCs w:val="21"/>
                <w:lang w:val="en-US" w:eastAsia="zh-CN" w:bidi="ar-SA"/>
              </w:rPr>
            </w:pPr>
            <w:r>
              <w:rPr>
                <w:rFonts w:hint="eastAsia" w:ascii="宋体" w:hAnsi="宋体" w:cs="Times New Roman"/>
                <w:kern w:val="2"/>
                <w:sz w:val="21"/>
                <w:szCs w:val="21"/>
                <w:lang w:val="en-US" w:eastAsia="zh-CN" w:bidi="ar-SA"/>
              </w:rPr>
              <w:t>无</w:t>
            </w:r>
          </w:p>
          <w:p>
            <w:pPr>
              <w:ind w:firstLine="651" w:firstLineChars="310"/>
              <w:rPr>
                <w:rFonts w:hint="eastAsia" w:ascii="宋体" w:hAnsi="宋体" w:cs="Times New Roman"/>
                <w:color w:val="auto"/>
                <w:kern w:val="2"/>
                <w:sz w:val="21"/>
                <w:szCs w:val="21"/>
                <w:lang w:val="en-US" w:eastAsia="zh-CN" w:bidi="ar-SA"/>
              </w:rPr>
            </w:pPr>
          </w:p>
          <w:p>
            <w:pPr>
              <w:ind w:firstLine="651" w:firstLineChars="310"/>
              <w:rPr>
                <w:rFonts w:hint="eastAsia" w:ascii="宋体" w:hAnsi="宋体" w:cs="Times New Roman"/>
                <w:color w:val="auto"/>
                <w:kern w:val="2"/>
                <w:sz w:val="21"/>
                <w:szCs w:val="21"/>
                <w:lang w:val="en-US" w:eastAsia="zh-CN" w:bidi="ar-SA"/>
              </w:rPr>
            </w:pPr>
          </w:p>
          <w:p>
            <w:pP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产品交付合格率100%；</w:t>
            </w:r>
          </w:p>
          <w:p>
            <w:pP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合同按时交付率100%；</w:t>
            </w:r>
          </w:p>
          <w:p>
            <w:pPr>
              <w:rPr>
                <w:szCs w:val="21"/>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顾客满意度＞92分</w:t>
            </w:r>
            <w:r>
              <w:rPr>
                <w:rFonts w:hint="eastAsia" w:ascii="宋体" w:hAnsi="宋体" w:cs="Times New Roman"/>
                <w:color w:val="auto"/>
                <w:kern w:val="2"/>
                <w:sz w:val="21"/>
                <w:szCs w:val="21"/>
                <w:lang w:val="en-US" w:eastAsia="zh-CN" w:bidi="ar-SA"/>
              </w:rPr>
              <w:t>。</w:t>
            </w:r>
          </w:p>
        </w:tc>
        <w:tc>
          <w:tcPr>
            <w:tcW w:w="893" w:type="dxa"/>
            <w:noWrap/>
            <w:vAlign w:val="top"/>
          </w:tcPr>
          <w:p>
            <w:pPr>
              <w:adjustRightInd w:val="0"/>
              <w:snapToGrid w:val="0"/>
              <w:rPr>
                <w:rFonts w:ascii="宋体" w:hAnsi="宋体"/>
                <w:szCs w:val="21"/>
              </w:rPr>
            </w:pPr>
            <w:r>
              <w:rPr>
                <w:rFonts w:hint="eastAsia" w:ascii="宋体" w:hAnsi="宋体"/>
                <w:szCs w:val="21"/>
              </w:rPr>
              <w:t>Q:8.1、8.2</w:t>
            </w:r>
            <w:r>
              <w:rPr>
                <w:rFonts w:hint="eastAsia" w:ascii="宋体" w:hAnsi="宋体"/>
                <w:szCs w:val="21"/>
                <w:lang w:eastAsia="zh-CN"/>
              </w:rPr>
              <w:t>、</w:t>
            </w:r>
            <w:r>
              <w:rPr>
                <w:rFonts w:hint="eastAsia" w:ascii="宋体" w:hAnsi="宋体"/>
                <w:szCs w:val="21"/>
              </w:rPr>
              <w:t>8.3</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highlight w:val="none"/>
              </w:rPr>
            </w:pPr>
            <w:r>
              <w:rPr>
                <w:rFonts w:hint="eastAsia"/>
                <w:szCs w:val="21"/>
                <w:highlight w:val="none"/>
              </w:rPr>
              <w:t>设计开发产品或项目名称</w:t>
            </w:r>
          </w:p>
          <w:p>
            <w:pPr>
              <w:spacing w:line="400" w:lineRule="exact"/>
              <w:rPr>
                <w:szCs w:val="21"/>
                <w:highlight w:val="none"/>
              </w:rPr>
            </w:pPr>
            <w:r>
              <w:rPr>
                <w:rFonts w:hint="eastAsia"/>
                <w:szCs w:val="21"/>
                <w:highlight w:val="none"/>
              </w:rPr>
              <w:t>主要原材料</w:t>
            </w:r>
          </w:p>
        </w:tc>
        <w:tc>
          <w:tcPr>
            <w:tcW w:w="9749" w:type="dxa"/>
            <w:noWrap/>
          </w:tcPr>
          <w:p>
            <w:pPr>
              <w:spacing w:line="400" w:lineRule="exact"/>
              <w:rPr>
                <w:szCs w:val="21"/>
                <w:highlight w:val="none"/>
              </w:rPr>
            </w:pPr>
            <w:r>
              <w:rPr>
                <w:rFonts w:hint="eastAsia"/>
                <w:szCs w:val="21"/>
                <w:highlight w:val="none"/>
              </w:rPr>
              <w:t>无</w:t>
            </w:r>
          </w:p>
          <w:p>
            <w:pPr>
              <w:spacing w:line="400" w:lineRule="exact"/>
              <w:rPr>
                <w:rFonts w:hint="default" w:eastAsia="宋体"/>
                <w:szCs w:val="21"/>
                <w:highlight w:val="none"/>
                <w:lang w:val="en-US" w:eastAsia="zh-CN"/>
              </w:rPr>
            </w:pPr>
            <w:r>
              <w:rPr>
                <w:rFonts w:hint="eastAsia"/>
                <w:szCs w:val="21"/>
                <w:highlight w:val="none"/>
                <w:lang w:val="en-US" w:eastAsia="zh-CN"/>
              </w:rPr>
              <w:t>木材及办公用品等。</w:t>
            </w:r>
          </w:p>
        </w:tc>
        <w:tc>
          <w:tcPr>
            <w:tcW w:w="893" w:type="dxa"/>
            <w:noWrap/>
            <w:vAlign w:val="top"/>
          </w:tcPr>
          <w:p>
            <w:pPr>
              <w:spacing w:line="440" w:lineRule="exact"/>
              <w:jc w:val="left"/>
              <w:rPr>
                <w:rFonts w:ascii="宋体" w:hAnsi="宋体"/>
                <w:szCs w:val="21"/>
              </w:rPr>
            </w:pPr>
            <w:r>
              <w:rPr>
                <w:rFonts w:hint="eastAsia" w:ascii="宋体" w:hAnsi="宋体"/>
                <w:szCs w:val="21"/>
              </w:rPr>
              <w:t>Q8.3</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pPr>
            <w:r>
              <w:rPr>
                <w:rFonts w:hint="eastAsia"/>
                <w:lang w:val="en-US" w:eastAsia="zh-CN"/>
              </w:rPr>
              <w:t>42</w:t>
            </w:r>
            <w:r>
              <w:rPr>
                <w:rFonts w:hint="eastAsia"/>
              </w:rPr>
              <w:t>人</w:t>
            </w:r>
          </w:p>
          <w:p>
            <w:pPr>
              <w:spacing w:line="400" w:lineRule="exact"/>
              <w:rPr>
                <w:rFonts w:hint="default"/>
                <w:lang w:val="en-US" w:eastAsia="zh-CN"/>
              </w:rPr>
            </w:pPr>
            <w:r>
              <w:rPr>
                <w:rFonts w:hint="eastAsia"/>
                <w:lang w:val="en-US" w:eastAsia="zh-CN"/>
              </w:rPr>
              <w:t>操作人员、检验员</w:t>
            </w:r>
          </w:p>
          <w:p>
            <w:pPr>
              <w:pStyle w:val="2"/>
              <w:rPr>
                <w:rFonts w:hint="default"/>
                <w:lang w:val="en-US" w:eastAsia="zh-CN"/>
              </w:rPr>
            </w:pPr>
            <w:r>
              <w:rPr>
                <w:rFonts w:hint="eastAsia"/>
                <w:lang w:val="en-US" w:eastAsia="zh-CN"/>
              </w:rPr>
              <w:t>叉车工</w:t>
            </w:r>
          </w:p>
          <w:p>
            <w:pPr>
              <w:pStyle w:val="2"/>
              <w:rPr>
                <w:rFonts w:hint="default"/>
                <w:lang w:val="en-US" w:eastAsia="zh-CN"/>
              </w:rPr>
            </w:pPr>
          </w:p>
        </w:tc>
        <w:tc>
          <w:tcPr>
            <w:tcW w:w="893" w:type="dxa"/>
            <w:noWrap/>
            <w:vAlign w:val="top"/>
          </w:tcPr>
          <w:p>
            <w:pPr>
              <w:spacing w:line="440" w:lineRule="exact"/>
              <w:jc w:val="left"/>
              <w:rPr>
                <w:rFonts w:ascii="宋体" w:hAnsi="宋体"/>
                <w:szCs w:val="21"/>
              </w:rPr>
            </w:pPr>
            <w:r>
              <w:rPr>
                <w:rFonts w:hint="eastAsia" w:ascii="宋体" w:hAnsi="宋体"/>
                <w:szCs w:val="21"/>
              </w:rPr>
              <w:t>Q:7.2</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rFonts w:hint="eastAsia"/>
                <w:szCs w:val="21"/>
                <w:highlight w:val="none"/>
              </w:rPr>
            </w:pPr>
            <w:r>
              <w:rPr>
                <w:rFonts w:hint="eastAsia"/>
                <w:szCs w:val="21"/>
                <w:highlight w:val="none"/>
              </w:rPr>
              <w:t>主要经营设备</w:t>
            </w:r>
          </w:p>
          <w:p>
            <w:pPr>
              <w:pStyle w:val="16"/>
              <w:rPr>
                <w:highlight w:val="none"/>
              </w:rPr>
            </w:pPr>
          </w:p>
          <w:p>
            <w:pPr>
              <w:pStyle w:val="16"/>
              <w:rPr>
                <w:rFonts w:hint="eastAsia"/>
                <w:highlight w:val="none"/>
                <w:lang w:val="en-US" w:eastAsia="zh-CN"/>
              </w:rPr>
            </w:pPr>
          </w:p>
          <w:p>
            <w:pPr>
              <w:spacing w:line="400" w:lineRule="exact"/>
              <w:rPr>
                <w:szCs w:val="21"/>
                <w:highlight w:val="none"/>
              </w:rPr>
            </w:pPr>
            <w:r>
              <w:rPr>
                <w:rFonts w:hint="eastAsia"/>
                <w:szCs w:val="21"/>
                <w:highlight w:val="none"/>
              </w:rPr>
              <w:t>特种设备</w:t>
            </w:r>
          </w:p>
          <w:p>
            <w:pPr>
              <w:spacing w:line="400" w:lineRule="exact"/>
              <w:rPr>
                <w:szCs w:val="21"/>
                <w:highlight w:val="none"/>
              </w:rPr>
            </w:pPr>
          </w:p>
          <w:p>
            <w:pPr>
              <w:spacing w:line="400" w:lineRule="exact"/>
              <w:rPr>
                <w:szCs w:val="21"/>
                <w:highlight w:val="none"/>
              </w:rPr>
            </w:pPr>
            <w:r>
              <w:rPr>
                <w:rFonts w:hint="eastAsia"/>
                <w:szCs w:val="21"/>
                <w:highlight w:val="none"/>
              </w:rPr>
              <w:t>主要检测设备及设备的检定/校准（QMS）</w:t>
            </w:r>
          </w:p>
        </w:tc>
        <w:tc>
          <w:tcPr>
            <w:tcW w:w="9749" w:type="dxa"/>
            <w:noWrap/>
          </w:tcPr>
          <w:p>
            <w:pPr>
              <w:spacing w:line="400" w:lineRule="exact"/>
              <w:rPr>
                <w:rFonts w:hint="eastAsia"/>
                <w:szCs w:val="22"/>
                <w:lang w:val="en-US" w:eastAsia="zh-CN"/>
              </w:rPr>
            </w:pPr>
            <w:r>
              <w:rPr>
                <w:rFonts w:hint="eastAsia"/>
                <w:szCs w:val="22"/>
                <w:lang w:val="en-US" w:eastAsia="zh-CN"/>
              </w:rPr>
              <w:t>拆弯机、激光切割机、动平衡机、履带式抛丸机、吊钩式抛丸机、吸尘器、钢板校平机、磨光机、带锯等及办公设备。</w:t>
            </w:r>
          </w:p>
          <w:p>
            <w:pPr>
              <w:spacing w:line="400" w:lineRule="exact"/>
              <w:rPr>
                <w:rFonts w:hint="eastAsia"/>
                <w:szCs w:val="21"/>
                <w:highlight w:val="none"/>
              </w:rPr>
            </w:pPr>
          </w:p>
          <w:p>
            <w:pPr>
              <w:pStyle w:val="16"/>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叉车</w:t>
            </w:r>
            <w:r>
              <w:rPr>
                <w:rFonts w:hint="eastAsia" w:ascii="Times New Roman" w:hAnsi="Times New Roman" w:cs="Times New Roman"/>
                <w:color w:val="auto"/>
                <w:kern w:val="2"/>
                <w:sz w:val="21"/>
                <w:szCs w:val="22"/>
                <w:lang w:val="en-US" w:eastAsia="zh-CN" w:bidi="ar-SA"/>
              </w:rPr>
              <w:t>1辆、锅炉1个均能提供有效年检报告</w:t>
            </w:r>
          </w:p>
          <w:p>
            <w:pPr>
              <w:pStyle w:val="16"/>
              <w:rPr>
                <w:rFonts w:hint="eastAsia"/>
                <w:szCs w:val="21"/>
                <w:highlight w:val="none"/>
                <w:lang w:val="en-US" w:eastAsia="zh-CN"/>
              </w:rPr>
            </w:pPr>
          </w:p>
          <w:p>
            <w:pPr>
              <w:spacing w:line="400" w:lineRule="exact"/>
              <w:rPr>
                <w:rFonts w:hint="default" w:eastAsia="宋体"/>
                <w:szCs w:val="21"/>
                <w:highlight w:val="none"/>
                <w:lang w:val="en-US" w:eastAsia="zh-CN"/>
              </w:rPr>
            </w:pPr>
            <w:r>
              <w:rPr>
                <w:rFonts w:hint="eastAsia" w:ascii="宋体" w:hAnsi="宋体" w:cs="宋体"/>
                <w:kern w:val="0"/>
                <w:sz w:val="21"/>
                <w:szCs w:val="21"/>
                <w:highlight w:val="none"/>
                <w:lang w:val="en-US" w:eastAsia="zh-CN"/>
              </w:rPr>
              <w:t>水分测量仪</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卷尺</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卡尺</w:t>
            </w:r>
            <w:r>
              <w:rPr>
                <w:rFonts w:hint="eastAsia" w:ascii="宋体" w:hAnsi="宋体" w:cs="宋体"/>
                <w:kern w:val="0"/>
                <w:sz w:val="21"/>
                <w:szCs w:val="21"/>
                <w:highlight w:val="none"/>
              </w:rPr>
              <w:t>等。</w:t>
            </w:r>
            <w:r>
              <w:rPr>
                <w:rFonts w:hint="eastAsia" w:ascii="宋体" w:hAnsi="宋体" w:cs="宋体"/>
                <w:kern w:val="0"/>
                <w:sz w:val="21"/>
                <w:szCs w:val="21"/>
                <w:highlight w:val="none"/>
                <w:lang w:val="en-US" w:eastAsia="zh-CN"/>
              </w:rPr>
              <w:t>采取外检，查</w:t>
            </w:r>
            <w:r>
              <w:rPr>
                <w:rFonts w:hint="eastAsia"/>
                <w:color w:val="000000" w:themeColor="text1"/>
                <w:sz w:val="21"/>
                <w:szCs w:val="21"/>
                <w:highlight w:val="none"/>
                <w:lang w:val="en-US" w:eastAsia="zh-CN"/>
              </w:rPr>
              <w:t>提供的检测设备检定或校准证书在有效期内</w:t>
            </w:r>
            <w:r>
              <w:rPr>
                <w:rFonts w:hint="eastAsia" w:ascii="宋体" w:hAnsi="宋体" w:cs="宋体"/>
                <w:color w:val="000000"/>
                <w:szCs w:val="21"/>
                <w:highlight w:val="none"/>
              </w:rPr>
              <w:t>。</w:t>
            </w:r>
          </w:p>
          <w:p>
            <w:pPr>
              <w:spacing w:line="400" w:lineRule="exact"/>
              <w:rPr>
                <w:szCs w:val="21"/>
                <w:highlight w:val="none"/>
              </w:rPr>
            </w:pPr>
          </w:p>
        </w:tc>
        <w:tc>
          <w:tcPr>
            <w:tcW w:w="893" w:type="dxa"/>
            <w:noWrap/>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pStyle w:val="7"/>
              <w:ind w:firstLine="0" w:firstLineChars="0"/>
              <w:jc w:val="both"/>
              <w:rPr>
                <w:szCs w:val="21"/>
              </w:rPr>
            </w:pPr>
            <w:r>
              <w:rPr>
                <w:rFonts w:hint="eastAsia" w:ascii="宋体" w:hAnsi="宋体" w:eastAsia="宋体" w:cs="宋体"/>
                <w:b w:val="0"/>
                <w:bCs w:val="0"/>
                <w:kern w:val="0"/>
                <w:sz w:val="21"/>
                <w:szCs w:val="21"/>
                <w:highlight w:val="none"/>
                <w:lang w:val="en-US" w:eastAsia="zh-CN" w:bidi="ar-SA"/>
              </w:rPr>
              <w:t>方针：“质量为本，信誉至上；持续改进，争创一流”。</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建立有《内部控制程序》</w:t>
            </w:r>
          </w:p>
          <w:p>
            <w:pPr>
              <w:spacing w:line="380" w:lineRule="exact"/>
              <w:rPr>
                <w:rFonts w:ascii="宋体" w:hAnsi="宋体"/>
                <w:szCs w:val="21"/>
                <w:highlight w:val="none"/>
              </w:rPr>
            </w:pPr>
            <w:r>
              <w:rPr>
                <w:rFonts w:hint="eastAsia" w:ascii="宋体" w:hAnsi="宋体"/>
                <w:szCs w:val="21"/>
              </w:rPr>
              <w:t>见</w:t>
            </w:r>
            <w:r>
              <w:rPr>
                <w:rFonts w:hint="eastAsia" w:ascii="宋体" w:hAnsi="宋体"/>
                <w:szCs w:val="21"/>
                <w:highlight w:val="none"/>
              </w:rPr>
              <w:t xml:space="preserve">有《内部审核计划表》 </w:t>
            </w:r>
          </w:p>
          <w:p>
            <w:pPr>
              <w:spacing w:line="380" w:lineRule="exact"/>
              <w:rPr>
                <w:rFonts w:ascii="宋体" w:hAnsi="宋体"/>
                <w:szCs w:val="21"/>
                <w:highlight w:val="none"/>
              </w:rPr>
            </w:pPr>
            <w:r>
              <w:rPr>
                <w:rFonts w:hint="eastAsia" w:ascii="宋体" w:hAnsi="宋体"/>
                <w:szCs w:val="21"/>
                <w:highlight w:val="none"/>
              </w:rPr>
              <w:t>内审时间：</w:t>
            </w:r>
            <w:r>
              <w:rPr>
                <w:rFonts w:hint="eastAsia" w:ascii="宋体" w:hAnsi="宋体" w:eastAsia="宋体" w:cs="Times New Roman"/>
                <w:szCs w:val="21"/>
                <w:highlight w:val="none"/>
                <w:lang w:eastAsia="zh-CN"/>
              </w:rPr>
              <w:t>20</w:t>
            </w:r>
            <w:r>
              <w:rPr>
                <w:rFonts w:hint="eastAsia" w:ascii="宋体" w:hAnsi="宋体" w:eastAsia="宋体" w:cs="Times New Roman"/>
                <w:szCs w:val="21"/>
                <w:highlight w:val="none"/>
                <w:lang w:val="en-US" w:eastAsia="zh-CN"/>
              </w:rPr>
              <w:t>20</w:t>
            </w:r>
            <w:r>
              <w:rPr>
                <w:rFonts w:hint="eastAsia" w:ascii="宋体" w:hAnsi="宋体" w:eastAsia="宋体" w:cs="Times New Roman"/>
                <w:szCs w:val="21"/>
                <w:highlight w:val="none"/>
                <w:lang w:eastAsia="zh-CN"/>
              </w:rPr>
              <w:t>年</w:t>
            </w:r>
            <w:r>
              <w:rPr>
                <w:rFonts w:hint="eastAsia" w:ascii="宋体" w:hAnsi="宋体" w:cs="Times New Roman"/>
                <w:szCs w:val="21"/>
                <w:highlight w:val="none"/>
                <w:lang w:val="en-US" w:eastAsia="zh-CN"/>
              </w:rPr>
              <w:t>10</w:t>
            </w:r>
            <w:r>
              <w:rPr>
                <w:rFonts w:hint="eastAsia" w:ascii="宋体" w:hAnsi="宋体" w:eastAsia="宋体" w:cs="Times New Roman"/>
                <w:szCs w:val="21"/>
                <w:highlight w:val="none"/>
                <w:lang w:eastAsia="zh-CN"/>
              </w:rPr>
              <w:t>月</w:t>
            </w:r>
            <w:r>
              <w:rPr>
                <w:rFonts w:hint="eastAsia" w:ascii="宋体" w:hAnsi="宋体" w:cs="Times New Roman"/>
                <w:szCs w:val="21"/>
                <w:highlight w:val="none"/>
                <w:lang w:val="en-US" w:eastAsia="zh-CN"/>
              </w:rPr>
              <w:t>19</w:t>
            </w:r>
            <w:r>
              <w:rPr>
                <w:rFonts w:hint="eastAsia" w:ascii="宋体" w:hAnsi="宋体" w:eastAsia="宋体" w:cs="Times New Roman"/>
                <w:szCs w:val="21"/>
                <w:highlight w:val="none"/>
                <w:lang w:eastAsia="zh-CN"/>
              </w:rPr>
              <w:t>日</w:t>
            </w:r>
          </w:p>
          <w:p>
            <w:pPr>
              <w:spacing w:line="380" w:lineRule="exact"/>
              <w:rPr>
                <w:rFonts w:hint="eastAsia" w:ascii="宋体" w:hAnsi="宋体" w:eastAsia="宋体"/>
                <w:szCs w:val="21"/>
                <w:highlight w:val="none"/>
                <w:lang w:eastAsia="zh-CN"/>
              </w:rPr>
            </w:pPr>
            <w:r>
              <w:rPr>
                <w:rFonts w:hint="eastAsia" w:ascii="宋体" w:hAnsi="宋体"/>
                <w:szCs w:val="21"/>
                <w:highlight w:val="none"/>
              </w:rPr>
              <w:t>内审组：审核组长：刘玥     组员：</w:t>
            </w:r>
            <w:r>
              <w:rPr>
                <w:rFonts w:hint="eastAsia" w:ascii="宋体" w:hAnsi="宋体"/>
                <w:szCs w:val="21"/>
                <w:highlight w:val="none"/>
                <w:lang w:val="en-US" w:eastAsia="zh-CN"/>
              </w:rPr>
              <w:t>李</w:t>
            </w:r>
            <w:r>
              <w:rPr>
                <w:rFonts w:hint="eastAsia" w:ascii="宋体" w:hAnsi="宋体" w:cs="Times New Roman"/>
                <w:szCs w:val="21"/>
                <w:highlight w:val="none"/>
                <w:lang w:val="en-US" w:eastAsia="zh-CN"/>
              </w:rPr>
              <w:t>健</w:t>
            </w:r>
          </w:p>
          <w:p>
            <w:pPr>
              <w:spacing w:line="380" w:lineRule="exact"/>
              <w:rPr>
                <w:rFonts w:hint="eastAsia" w:ascii="宋体" w:hAnsi="宋体"/>
                <w:szCs w:val="21"/>
              </w:rPr>
            </w:pPr>
            <w:r>
              <w:rPr>
                <w:rFonts w:hint="eastAsia" w:ascii="宋体" w:hAnsi="宋体"/>
                <w:szCs w:val="21"/>
              </w:rPr>
              <w:t>见有：《</w:t>
            </w:r>
            <w:r>
              <w:rPr>
                <w:rFonts w:hint="eastAsia" w:ascii="宋体" w:hAnsi="宋体"/>
                <w:szCs w:val="21"/>
                <w:highlight w:val="none"/>
              </w:rPr>
              <w:t xml:space="preserve">内审不符合项报告》1份 </w:t>
            </w:r>
            <w:r>
              <w:rPr>
                <w:rFonts w:hint="eastAsia" w:ascii="宋体" w:hAnsi="宋体"/>
                <w:szCs w:val="21"/>
                <w:highlight w:val="none"/>
                <w:lang w:eastAsia="zh-CN"/>
              </w:rPr>
              <w:t>，</w:t>
            </w:r>
            <w:r>
              <w:rPr>
                <w:rFonts w:hint="eastAsia" w:ascii="宋体" w:hAnsi="宋体" w:cs="宋体"/>
                <w:color w:val="000000"/>
                <w:szCs w:val="24"/>
                <w:highlight w:val="none"/>
              </w:rPr>
              <w:t>涉及</w:t>
            </w:r>
            <w:r>
              <w:rPr>
                <w:rFonts w:hint="eastAsia" w:ascii="宋体" w:hAnsi="宋体" w:cs="宋体"/>
                <w:color w:val="000000"/>
                <w:szCs w:val="24"/>
                <w:highlight w:val="none"/>
                <w:lang w:eastAsia="zh-CN"/>
              </w:rPr>
              <w:t>生产部</w:t>
            </w:r>
            <w:r>
              <w:rPr>
                <w:rFonts w:hint="eastAsia" w:ascii="宋体" w:hAnsi="宋体" w:cs="宋体"/>
                <w:color w:val="000000"/>
                <w:szCs w:val="24"/>
                <w:highlight w:val="none"/>
                <w:lang w:val="en-US" w:eastAsia="zh-CN"/>
              </w:rPr>
              <w:t>Q</w:t>
            </w:r>
            <w:r>
              <w:rPr>
                <w:rFonts w:hint="eastAsia" w:ascii="宋体" w:hAnsi="宋体" w:cs="宋体"/>
                <w:color w:val="000000"/>
                <w:szCs w:val="24"/>
                <w:lang w:val="en-US" w:eastAsia="zh-CN"/>
              </w:rPr>
              <w:t>7.1.3条款2020.10.19</w:t>
            </w:r>
            <w:r>
              <w:rPr>
                <w:rFonts w:hint="eastAsia" w:ascii="宋体" w:hAnsi="宋体" w:cs="宋体"/>
                <w:color w:val="000000"/>
                <w:szCs w:val="24"/>
              </w:rPr>
              <w:t>日查</w:t>
            </w:r>
            <w:r>
              <w:rPr>
                <w:rFonts w:hint="eastAsia" w:ascii="宋体" w:hAnsi="宋体" w:cs="宋体"/>
                <w:color w:val="000000"/>
                <w:szCs w:val="24"/>
                <w:lang w:eastAsia="zh-CN"/>
              </w:rPr>
              <w:t>生产部</w:t>
            </w:r>
            <w:r>
              <w:rPr>
                <w:rFonts w:hint="eastAsia" w:ascii="宋体" w:hAnsi="宋体" w:cs="宋体"/>
                <w:color w:val="000000"/>
                <w:szCs w:val="24"/>
              </w:rPr>
              <w:t>未见201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8</w:t>
            </w:r>
            <w:r>
              <w:rPr>
                <w:rFonts w:hint="eastAsia" w:ascii="宋体" w:hAnsi="宋体" w:cs="宋体"/>
                <w:color w:val="000000"/>
                <w:szCs w:val="24"/>
              </w:rPr>
              <w:t>月份设备保养记录，对不符合项进行了分析，并制定了纠正措施，并进行了验证</w:t>
            </w:r>
            <w:r>
              <w:rPr>
                <w:rFonts w:hint="eastAsia" w:ascii="宋体" w:hAnsi="宋体"/>
                <w:szCs w:val="21"/>
              </w:rPr>
              <w:t>，经内审员验证关闭。</w:t>
            </w:r>
          </w:p>
          <w:p>
            <w:pPr>
              <w:spacing w:line="380" w:lineRule="exact"/>
              <w:rPr>
                <w:rFonts w:ascii="宋体" w:hAnsi="宋体"/>
                <w:szCs w:val="21"/>
              </w:rPr>
            </w:pPr>
            <w:r>
              <w:rPr>
                <w:rFonts w:hint="eastAsia" w:ascii="宋体" w:hAnsi="宋体"/>
                <w:szCs w:val="21"/>
              </w:rPr>
              <w:t>有《内部审核报告》，有审核结论。</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749" w:type="dxa"/>
            <w:noWra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w:t>
            </w:r>
            <w:r>
              <w:rPr>
                <w:rFonts w:hint="eastAsia" w:ascii="宋体" w:hAnsi="Times New Roman" w:eastAsia="宋体" w:cs="Times New Roman"/>
                <w:kern w:val="0"/>
                <w:szCs w:val="21"/>
              </w:rPr>
              <w:t>于20</w:t>
            </w:r>
            <w:r>
              <w:rPr>
                <w:rFonts w:hint="eastAsia" w:ascii="宋体" w:hAnsi="Times New Roman" w:eastAsia="宋体" w:cs="Times New Roman"/>
                <w:kern w:val="0"/>
                <w:szCs w:val="21"/>
                <w:lang w:val="en-US" w:eastAsia="zh-CN"/>
              </w:rPr>
              <w:t>20</w:t>
            </w:r>
            <w:r>
              <w:rPr>
                <w:rFonts w:hint="eastAsia" w:ascii="宋体" w:hAnsi="Times New Roman" w:eastAsia="宋体" w:cs="Times New Roman"/>
                <w:kern w:val="0"/>
                <w:szCs w:val="21"/>
              </w:rPr>
              <w:t xml:space="preserve">年 </w:t>
            </w:r>
            <w:r>
              <w:rPr>
                <w:rFonts w:hint="eastAsia" w:ascii="宋体" w:cs="Times New Roman"/>
                <w:kern w:val="0"/>
                <w:szCs w:val="21"/>
                <w:lang w:val="en-US" w:eastAsia="zh-CN"/>
              </w:rPr>
              <w:t>11</w:t>
            </w:r>
            <w:r>
              <w:rPr>
                <w:rFonts w:hint="eastAsia" w:ascii="宋体" w:hAnsi="Times New Roman" w:eastAsia="宋体" w:cs="Times New Roman"/>
                <w:kern w:val="0"/>
                <w:szCs w:val="21"/>
              </w:rPr>
              <w:t>月</w:t>
            </w:r>
            <w:r>
              <w:rPr>
                <w:rFonts w:hint="eastAsia" w:ascii="宋体" w:cs="Times New Roman"/>
                <w:kern w:val="0"/>
                <w:szCs w:val="21"/>
                <w:lang w:val="en-US" w:eastAsia="zh-CN"/>
              </w:rPr>
              <w:t>2</w:t>
            </w:r>
            <w:r>
              <w:rPr>
                <w:rFonts w:hint="eastAsia" w:ascii="宋体" w:hAnsi="Times New Roman" w:eastAsia="宋体" w:cs="Times New Roman"/>
                <w:kern w:val="0"/>
                <w:szCs w:val="21"/>
              </w:rPr>
              <w:t xml:space="preserve"> 日由</w:t>
            </w:r>
            <w:r>
              <w:rPr>
                <w:rFonts w:hint="eastAsia" w:ascii="宋体" w:cs="Times New Roman"/>
                <w:kern w:val="0"/>
                <w:szCs w:val="21"/>
                <w:lang w:val="en-US" w:eastAsia="zh-CN"/>
              </w:rPr>
              <w:t>袁立业</w:t>
            </w:r>
            <w:r>
              <w:rPr>
                <w:rFonts w:hint="eastAsia" w:ascii="宋体" w:hAnsi="Times New Roman" w:eastAsia="宋体" w:cs="Times New Roman"/>
                <w:kern w:val="0"/>
                <w:szCs w:val="21"/>
              </w:rPr>
              <w:t>总经理主持完成。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w:t>
            </w:r>
            <w:r>
              <w:rPr>
                <w:rFonts w:hint="eastAsia" w:ascii="宋体" w:hAnsi="宋体"/>
                <w:kern w:val="0"/>
                <w:szCs w:val="21"/>
                <w:lang w:eastAsia="zh-CN"/>
              </w:rPr>
              <w:t>”</w:t>
            </w:r>
            <w:r>
              <w:rPr>
                <w:rFonts w:hint="eastAsia" w:ascii="宋体" w:hAnsi="宋体"/>
                <w:kern w:val="0"/>
                <w:szCs w:val="21"/>
              </w:rPr>
              <w:t>, 做出了管理体系基本适宜、充分和有效的评审结论。</w:t>
            </w:r>
          </w:p>
          <w:p>
            <w:pPr>
              <w:adjustRightInd w:val="0"/>
              <w:spacing w:line="400" w:lineRule="exact"/>
              <w:textAlignment w:val="baseline"/>
              <w:rPr>
                <w:rFonts w:hint="eastAsia" w:ascii="宋体" w:hAnsi="宋体"/>
                <w:kern w:val="0"/>
                <w:szCs w:val="21"/>
              </w:rPr>
            </w:pPr>
            <w:r>
              <w:rPr>
                <w:rFonts w:hint="eastAsia" w:ascii="宋体" w:hAnsi="宋体"/>
                <w:kern w:val="0"/>
                <w:szCs w:val="21"/>
              </w:rPr>
              <w:t>提出改进1项：</w:t>
            </w:r>
          </w:p>
          <w:p>
            <w:pPr>
              <w:adjustRightInd w:val="0"/>
              <w:spacing w:line="400" w:lineRule="exact"/>
              <w:textAlignment w:val="baseline"/>
              <w:rPr>
                <w:rFonts w:hint="eastAsia" w:ascii="宋体" w:hAnsi="宋体" w:eastAsia="宋体"/>
                <w:kern w:val="0"/>
                <w:szCs w:val="21"/>
                <w:lang w:val="en-US" w:eastAsia="zh-CN"/>
              </w:rPr>
            </w:pPr>
            <w:r>
              <w:rPr>
                <w:rFonts w:hint="eastAsia" w:ascii="宋体" w:hAnsi="宋体"/>
                <w:kern w:val="0"/>
                <w:szCs w:val="21"/>
              </w:rPr>
              <w:t>继续加强ISO9001:2015标准的继续学习和理解。</w:t>
            </w:r>
          </w:p>
        </w:tc>
        <w:tc>
          <w:tcPr>
            <w:tcW w:w="893" w:type="dxa"/>
            <w:noWrap/>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3687"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749" w:type="dxa"/>
            <w:noWrap/>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二阶段质量管理体系宜重点关注（客户管理、采购验收、交付过程）：</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重点审核部门：生产部、营销部</w:t>
            </w:r>
            <w:bookmarkStart w:id="1" w:name="_GoBack"/>
            <w:bookmarkEnd w:id="1"/>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重点审核场所：生产场所。</w:t>
            </w:r>
          </w:p>
        </w:tc>
        <w:tc>
          <w:tcPr>
            <w:tcW w:w="893" w:type="dxa"/>
            <w:noWrap/>
            <w:vAlign w:val="top"/>
          </w:tcPr>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p>
        </w:tc>
      </w:tr>
    </w:tbl>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91F44"/>
    <w:rsid w:val="004F1988"/>
    <w:rsid w:val="007D5C75"/>
    <w:rsid w:val="007E5309"/>
    <w:rsid w:val="009F018D"/>
    <w:rsid w:val="00B073E3"/>
    <w:rsid w:val="00B91F44"/>
    <w:rsid w:val="022703B7"/>
    <w:rsid w:val="03E649F5"/>
    <w:rsid w:val="08A04063"/>
    <w:rsid w:val="09110B43"/>
    <w:rsid w:val="091B2EBB"/>
    <w:rsid w:val="0C356F6A"/>
    <w:rsid w:val="0EE776D8"/>
    <w:rsid w:val="0FEE1C44"/>
    <w:rsid w:val="12A7730F"/>
    <w:rsid w:val="136F45C4"/>
    <w:rsid w:val="1682460A"/>
    <w:rsid w:val="205139E6"/>
    <w:rsid w:val="255B74B5"/>
    <w:rsid w:val="261F67D7"/>
    <w:rsid w:val="29206B90"/>
    <w:rsid w:val="2E0D3BFE"/>
    <w:rsid w:val="2FAD2E2E"/>
    <w:rsid w:val="31EB7ABB"/>
    <w:rsid w:val="369252BE"/>
    <w:rsid w:val="390B76A7"/>
    <w:rsid w:val="396E404F"/>
    <w:rsid w:val="3AE03372"/>
    <w:rsid w:val="3B621302"/>
    <w:rsid w:val="3C1E62F7"/>
    <w:rsid w:val="3CE73BB1"/>
    <w:rsid w:val="3EA41102"/>
    <w:rsid w:val="3FEE30CD"/>
    <w:rsid w:val="487A519B"/>
    <w:rsid w:val="489052D1"/>
    <w:rsid w:val="49C955DE"/>
    <w:rsid w:val="4A4E0944"/>
    <w:rsid w:val="4D157E27"/>
    <w:rsid w:val="53107C3B"/>
    <w:rsid w:val="563F7E96"/>
    <w:rsid w:val="5AFA2BB2"/>
    <w:rsid w:val="5B790DDB"/>
    <w:rsid w:val="641E01A3"/>
    <w:rsid w:val="69BA0BA6"/>
    <w:rsid w:val="6A4021D3"/>
    <w:rsid w:val="70AD313D"/>
    <w:rsid w:val="71E31953"/>
    <w:rsid w:val="72384051"/>
    <w:rsid w:val="79CE6068"/>
    <w:rsid w:val="7AE567B0"/>
    <w:rsid w:val="7DEE5146"/>
    <w:rsid w:val="7E7C1A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0"/>
    <w:pPr>
      <w:ind w:firstLine="420" w:firstLineChars="200"/>
    </w:p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1444</Characters>
  <Lines>12</Lines>
  <Paragraphs>3</Paragraphs>
  <TotalTime>2</TotalTime>
  <ScaleCrop>false</ScaleCrop>
  <LinksUpToDate>false</LinksUpToDate>
  <CharactersWithSpaces>1694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2021-01-24T05:08:18Z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