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受审核部门：生产部     主管领导：</w:t>
            </w:r>
            <w:r>
              <w:rPr>
                <w:rFonts w:hint="eastAsia" w:ascii="宋体" w:hAnsi="宋体" w:eastAsia="宋体" w:cs="宋体"/>
                <w:sz w:val="21"/>
                <w:szCs w:val="21"/>
                <w:lang w:val="en-US" w:eastAsia="zh-CN"/>
              </w:rPr>
              <w:t>庞军虎</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沙宏涛</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审核员：李俐        审核时间：20</w:t>
            </w:r>
            <w:r>
              <w:rPr>
                <w:rFonts w:hint="eastAsia" w:ascii="宋体" w:hAnsi="宋体" w:eastAsia="宋体" w:cs="宋体"/>
                <w:sz w:val="21"/>
                <w:szCs w:val="21"/>
                <w:lang w:val="en-US" w:eastAsia="zh-CN"/>
              </w:rPr>
              <w:t>21</w:t>
            </w:r>
            <w:r>
              <w:rPr>
                <w:rFonts w:hint="eastAsia" w:ascii="宋体" w:hAnsi="宋体" w:eastAsia="宋体" w:cs="宋体"/>
                <w:sz w:val="21"/>
                <w:szCs w:val="21"/>
              </w:rPr>
              <w:t>.1.</w:t>
            </w:r>
            <w:r>
              <w:rPr>
                <w:rFonts w:hint="eastAsia" w:ascii="宋体" w:hAnsi="宋体" w:eastAsia="宋体" w:cs="宋体"/>
                <w:sz w:val="21"/>
                <w:szCs w:val="21"/>
                <w:lang w:val="en-US" w:eastAsia="zh-CN"/>
              </w:rPr>
              <w:t>9</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审核条款：</w:t>
            </w:r>
          </w:p>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EMS：5.3组织的岗位、职责和权限、6.2环境目标、6.1.2环境因素、8.1运行策划和控制、8.2应急准备和响应，</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职责权限</w:t>
            </w:r>
          </w:p>
        </w:tc>
        <w:tc>
          <w:tcPr>
            <w:tcW w:w="1311" w:type="dxa"/>
          </w:tcPr>
          <w:p>
            <w:pPr>
              <w:snapToGrid w:val="0"/>
              <w:spacing w:line="360" w:lineRule="auto"/>
              <w:rPr>
                <w:rFonts w:hint="eastAsia" w:ascii="宋体" w:hAnsi="宋体" w:eastAsia="宋体" w:cs="宋体"/>
                <w:bCs/>
                <w:sz w:val="21"/>
                <w:szCs w:val="21"/>
              </w:rPr>
            </w:pPr>
          </w:p>
          <w:p>
            <w:pPr>
              <w:snapToGrid w:val="0"/>
              <w:spacing w:line="360" w:lineRule="auto"/>
              <w:rPr>
                <w:rFonts w:hint="eastAsia" w:ascii="宋体" w:hAnsi="宋体" w:eastAsia="宋体" w:cs="宋体"/>
                <w:bCs/>
                <w:sz w:val="21"/>
                <w:szCs w:val="21"/>
              </w:rPr>
            </w:pPr>
          </w:p>
          <w:p>
            <w:pPr>
              <w:snapToGrid w:val="0"/>
              <w:spacing w:line="360" w:lineRule="auto"/>
              <w:rPr>
                <w:rFonts w:hint="eastAsia" w:ascii="宋体" w:hAnsi="宋体" w:eastAsia="宋体" w:cs="宋体"/>
                <w:bCs/>
                <w:sz w:val="21"/>
                <w:szCs w:val="21"/>
              </w:rPr>
            </w:pPr>
          </w:p>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E5.3</w:t>
            </w:r>
            <w:r>
              <w:rPr>
                <w:rFonts w:hint="eastAsia" w:ascii="宋体" w:hAnsi="宋体" w:eastAsia="宋体" w:cs="宋体"/>
                <w:sz w:val="21"/>
                <w:szCs w:val="21"/>
              </w:rPr>
              <w:t xml:space="preserve"> </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询问生产部负责人</w:t>
            </w:r>
            <w:r>
              <w:rPr>
                <w:rFonts w:hint="eastAsia" w:ascii="宋体" w:hAnsi="宋体" w:eastAsia="宋体" w:cs="宋体"/>
                <w:sz w:val="21"/>
                <w:szCs w:val="21"/>
                <w:lang w:val="en-US" w:eastAsia="zh-CN"/>
              </w:rPr>
              <w:t>庞军虎</w:t>
            </w:r>
            <w:r>
              <w:rPr>
                <w:rFonts w:hint="eastAsia" w:ascii="宋体" w:hAnsi="宋体" w:eastAsia="宋体" w:cs="宋体"/>
                <w:sz w:val="21"/>
                <w:szCs w:val="21"/>
              </w:rPr>
              <w:t xml:space="preserve"> ，能明确本人在环境管理体系方面的职责：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环境因素识别评价及运行控制；负责生产现场运行控制管理，实施监督和检查；贯彻公司环境管理方针、目标、指标和方案，组织协调生产过程中重要环境因素的有效控制;根据公司生产经营计划合理调度，合理配置动力能源，提高能源利用率；参加环境事件的调查处理工作；负责产品交付与发运过程的环境管理工作</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目标 </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E6.2</w:t>
            </w:r>
          </w:p>
        </w:tc>
        <w:tc>
          <w:tcPr>
            <w:tcW w:w="10004"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查到公司《目标指标及措施方案》</w:t>
            </w:r>
          </w:p>
          <w:p>
            <w:pPr>
              <w:tabs>
                <w:tab w:val="left" w:pos="709"/>
              </w:tabs>
              <w:snapToGrid w:val="0"/>
              <w:spacing w:line="440" w:lineRule="atLeast"/>
              <w:rPr>
                <w:rFonts w:hint="eastAsia" w:ascii="宋体" w:hAnsi="宋体" w:eastAsia="宋体" w:cs="宋体"/>
                <w:sz w:val="21"/>
                <w:szCs w:val="21"/>
              </w:rPr>
            </w:pPr>
            <w:r>
              <w:rPr>
                <w:rFonts w:hint="eastAsia" w:ascii="宋体" w:hAnsi="宋体" w:eastAsia="宋体" w:cs="宋体"/>
                <w:sz w:val="21"/>
                <w:szCs w:val="21"/>
              </w:rPr>
              <w:t>生产部：</w:t>
            </w:r>
          </w:p>
          <w:p>
            <w:pPr>
              <w:tabs>
                <w:tab w:val="left" w:pos="709"/>
              </w:tabs>
              <w:snapToGrid w:val="0"/>
              <w:spacing w:line="440" w:lineRule="atLeast"/>
              <w:rPr>
                <w:rFonts w:hint="eastAsia" w:ascii="宋体" w:hAnsi="宋体" w:eastAsia="宋体" w:cs="宋体"/>
                <w:color w:val="000000"/>
                <w:sz w:val="21"/>
                <w:szCs w:val="21"/>
              </w:rPr>
            </w:pPr>
            <w:r>
              <w:rPr>
                <w:rFonts w:hint="eastAsia" w:ascii="宋体" w:hAnsi="宋体" w:eastAsia="宋体" w:cs="宋体"/>
                <w:sz w:val="21"/>
                <w:szCs w:val="21"/>
              </w:rPr>
              <w:t>1、安</w:t>
            </w:r>
            <w:r>
              <w:rPr>
                <w:rFonts w:hint="eastAsia" w:ascii="宋体" w:hAnsi="宋体" w:eastAsia="宋体" w:cs="宋体"/>
                <w:color w:val="000000"/>
                <w:sz w:val="21"/>
                <w:szCs w:val="21"/>
              </w:rPr>
              <w:t>全环保检查整改计划落实率 100%；</w:t>
            </w:r>
          </w:p>
          <w:p>
            <w:pPr>
              <w:pStyle w:val="15"/>
              <w:tabs>
                <w:tab w:val="left" w:pos="78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1)建立整改检查机制  2)制定检查表实时记录</w:t>
            </w:r>
          </w:p>
          <w:p>
            <w:pPr>
              <w:tabs>
                <w:tab w:val="left" w:pos="700"/>
              </w:tabs>
              <w:snapToGrid w:val="0"/>
              <w:spacing w:line="440" w:lineRule="atLeast"/>
              <w:rPr>
                <w:rFonts w:hint="eastAsia" w:ascii="宋体" w:hAnsi="宋体" w:eastAsia="宋体" w:cs="宋体"/>
                <w:sz w:val="21"/>
                <w:szCs w:val="21"/>
              </w:rPr>
            </w:pPr>
            <w:r>
              <w:rPr>
                <w:rFonts w:hint="eastAsia" w:ascii="宋体" w:hAnsi="宋体" w:eastAsia="宋体" w:cs="宋体"/>
                <w:color w:val="000000"/>
                <w:sz w:val="21"/>
                <w:szCs w:val="21"/>
              </w:rPr>
              <w:t>2、环保设备按期检定率100%</w:t>
            </w:r>
            <w:r>
              <w:rPr>
                <w:rFonts w:hint="eastAsia" w:ascii="宋体" w:hAnsi="宋体" w:eastAsia="宋体" w:cs="宋体"/>
                <w:sz w:val="21"/>
                <w:szCs w:val="21"/>
              </w:rPr>
              <w:t>；</w:t>
            </w:r>
          </w:p>
          <w:p>
            <w:pPr>
              <w:pStyle w:val="15"/>
              <w:tabs>
                <w:tab w:val="left" w:pos="700"/>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1）制定台账和检定计划  2）专人负责，定期检查</w:t>
            </w:r>
          </w:p>
          <w:p>
            <w:pPr>
              <w:tabs>
                <w:tab w:val="left" w:pos="709"/>
              </w:tabs>
              <w:snapToGrid w:val="0"/>
              <w:spacing w:line="440" w:lineRule="atLeast"/>
              <w:rPr>
                <w:rFonts w:hint="eastAsia" w:ascii="宋体" w:hAnsi="宋体" w:eastAsia="宋体" w:cs="宋体"/>
                <w:sz w:val="21"/>
                <w:szCs w:val="21"/>
              </w:rPr>
            </w:pPr>
            <w:r>
              <w:rPr>
                <w:rFonts w:hint="eastAsia" w:ascii="宋体" w:hAnsi="宋体" w:eastAsia="宋体" w:cs="宋体"/>
                <w:color w:val="000000"/>
                <w:sz w:val="21"/>
                <w:szCs w:val="21"/>
              </w:rPr>
              <w:t>3、固体废弃物有效处理率为100%；</w:t>
            </w:r>
          </w:p>
          <w:p>
            <w:pPr>
              <w:pStyle w:val="15"/>
              <w:tabs>
                <w:tab w:val="left" w:pos="700"/>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1）制定固体废弃物分类标准  2）购置固体废弃物分类存放容器并标识  3）根据分类交由有资质的回收方回收处理。</w:t>
            </w:r>
          </w:p>
          <w:p>
            <w:pPr>
              <w:pStyle w:val="15"/>
              <w:tabs>
                <w:tab w:val="left" w:pos="709"/>
              </w:tabs>
              <w:snapToGrid w:val="0"/>
              <w:spacing w:line="4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4、无环境污染投诉事故；</w:t>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1）识别过程环境因素  2)制定防护措施，培训员工  3)安装环保设施</w:t>
            </w:r>
          </w:p>
          <w:p>
            <w:pPr>
              <w:pStyle w:val="15"/>
              <w:tabs>
                <w:tab w:val="left" w:pos="709"/>
              </w:tabs>
              <w:snapToGrid w:val="0"/>
              <w:spacing w:line="440" w:lineRule="atLeast"/>
              <w:ind w:firstLine="0" w:firstLineChars="0"/>
              <w:rPr>
                <w:rFonts w:hint="eastAsia" w:ascii="宋体" w:hAnsi="宋体" w:eastAsia="宋体" w:cs="宋体"/>
                <w:sz w:val="21"/>
                <w:szCs w:val="21"/>
              </w:rPr>
            </w:pPr>
            <w:r>
              <w:rPr>
                <w:rFonts w:hint="eastAsia" w:ascii="宋体" w:hAnsi="宋体" w:eastAsia="宋体" w:cs="宋体"/>
                <w:color w:val="000000"/>
                <w:sz w:val="21"/>
                <w:szCs w:val="21"/>
              </w:rPr>
              <w:t>5</w:t>
            </w:r>
            <w:r>
              <w:rPr>
                <w:rFonts w:hint="eastAsia" w:ascii="宋体" w:hAnsi="宋体" w:eastAsia="宋体" w:cs="宋体"/>
                <w:sz w:val="21"/>
                <w:szCs w:val="21"/>
              </w:rPr>
              <w:t>、</w:t>
            </w:r>
            <w:r>
              <w:rPr>
                <w:rFonts w:hint="eastAsia" w:ascii="宋体" w:hAnsi="宋体" w:eastAsia="宋体" w:cs="宋体"/>
                <w:color w:val="000000"/>
                <w:sz w:val="21"/>
                <w:szCs w:val="21"/>
              </w:rPr>
              <w:t>无火灾事故。</w:t>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1)建立安全环保检查制度  2)专人负责定期检查，如实记录  3)有效整改不符合项</w:t>
            </w:r>
          </w:p>
          <w:p>
            <w:pPr>
              <w:pStyle w:val="15"/>
              <w:tabs>
                <w:tab w:val="left" w:pos="709"/>
                <w:tab w:val="left" w:pos="1270"/>
              </w:tabs>
              <w:snapToGrid w:val="0"/>
              <w:spacing w:line="440" w:lineRule="atLeas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查到《20</w:t>
            </w:r>
            <w:r>
              <w:rPr>
                <w:rFonts w:hint="eastAsia" w:ascii="宋体" w:hAnsi="宋体" w:eastAsia="宋体" w:cs="宋体"/>
                <w:sz w:val="21"/>
                <w:szCs w:val="21"/>
                <w:lang w:val="en-US" w:eastAsia="zh-CN"/>
              </w:rPr>
              <w:t>20</w:t>
            </w:r>
            <w:r>
              <w:rPr>
                <w:rFonts w:hint="eastAsia" w:ascii="宋体" w:hAnsi="宋体" w:eastAsia="宋体" w:cs="宋体"/>
                <w:sz w:val="21"/>
                <w:szCs w:val="21"/>
              </w:rPr>
              <w:t>年目标指标统计表》,</w:t>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环保设备按期检定率100%</w:t>
            </w:r>
            <w:r>
              <w:rPr>
                <w:rFonts w:hint="eastAsia" w:ascii="宋体" w:hAnsi="宋体" w:eastAsia="宋体" w:cs="宋体"/>
                <w:sz w:val="21"/>
                <w:szCs w:val="21"/>
              </w:rPr>
              <w:tab/>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安全环保检查整改计划落实率 100%</w:t>
            </w:r>
            <w:r>
              <w:rPr>
                <w:rFonts w:hint="eastAsia" w:ascii="宋体" w:hAnsi="宋体" w:eastAsia="宋体" w:cs="宋体"/>
                <w:sz w:val="21"/>
                <w:szCs w:val="21"/>
              </w:rPr>
              <w:tab/>
            </w:r>
            <w:r>
              <w:rPr>
                <w:rFonts w:hint="eastAsia" w:ascii="宋体" w:hAnsi="宋体" w:eastAsia="宋体" w:cs="宋体"/>
                <w:sz w:val="21"/>
                <w:szCs w:val="21"/>
              </w:rPr>
              <w:t>100%</w:t>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固体废弃物有效处理率为100%；</w:t>
            </w:r>
            <w:r>
              <w:rPr>
                <w:rFonts w:hint="eastAsia" w:ascii="宋体" w:hAnsi="宋体" w:eastAsia="宋体" w:cs="宋体"/>
                <w:sz w:val="21"/>
                <w:szCs w:val="21"/>
              </w:rPr>
              <w:tab/>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无环境污染投诉事故</w:t>
            </w:r>
            <w:r>
              <w:rPr>
                <w:rFonts w:hint="eastAsia" w:ascii="宋体" w:hAnsi="宋体" w:eastAsia="宋体" w:cs="宋体"/>
                <w:sz w:val="21"/>
                <w:szCs w:val="21"/>
              </w:rPr>
              <w:tab/>
            </w:r>
            <w:r>
              <w:rPr>
                <w:rFonts w:hint="eastAsia" w:ascii="宋体" w:hAnsi="宋体" w:eastAsia="宋体" w:cs="宋体"/>
                <w:sz w:val="21"/>
                <w:szCs w:val="21"/>
              </w:rPr>
              <w:t>无</w:t>
            </w:r>
          </w:p>
          <w:p>
            <w:pPr>
              <w:pStyle w:val="15"/>
              <w:tabs>
                <w:tab w:val="left" w:pos="709"/>
                <w:tab w:val="left" w:pos="1270"/>
              </w:tabs>
              <w:snapToGrid w:val="0"/>
              <w:spacing w:line="440" w:lineRule="atLeast"/>
              <w:ind w:left="426" w:firstLine="0" w:firstLineChars="0"/>
              <w:rPr>
                <w:rFonts w:hint="eastAsia" w:ascii="宋体" w:hAnsi="宋体" w:eastAsia="宋体" w:cs="宋体"/>
                <w:sz w:val="21"/>
                <w:szCs w:val="21"/>
              </w:rPr>
            </w:pPr>
            <w:r>
              <w:rPr>
                <w:rFonts w:hint="eastAsia" w:ascii="宋体" w:hAnsi="宋体" w:eastAsia="宋体" w:cs="宋体"/>
                <w:sz w:val="21"/>
                <w:szCs w:val="21"/>
              </w:rPr>
              <w:t>无火灾事故</w:t>
            </w:r>
            <w:r>
              <w:rPr>
                <w:rFonts w:hint="eastAsia" w:ascii="宋体" w:hAnsi="宋体" w:eastAsia="宋体" w:cs="宋体"/>
                <w:sz w:val="21"/>
                <w:szCs w:val="21"/>
              </w:rPr>
              <w:tab/>
            </w:r>
            <w:r>
              <w:rPr>
                <w:rFonts w:hint="eastAsia" w:ascii="宋体" w:hAnsi="宋体" w:eastAsia="宋体" w:cs="宋体"/>
                <w:sz w:val="21"/>
                <w:szCs w:val="21"/>
              </w:rPr>
              <w:t>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考核情况，经20</w:t>
            </w:r>
            <w:r>
              <w:rPr>
                <w:rFonts w:hint="eastAsia" w:ascii="宋体" w:hAnsi="宋体" w:cs="宋体"/>
                <w:sz w:val="21"/>
                <w:szCs w:val="21"/>
                <w:lang w:val="en-US" w:eastAsia="zh-CN"/>
              </w:rPr>
              <w:t>21</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5</w:t>
            </w:r>
            <w:r>
              <w:rPr>
                <w:rFonts w:hint="eastAsia" w:ascii="宋体" w:hAnsi="宋体" w:eastAsia="宋体" w:cs="宋体"/>
                <w:sz w:val="21"/>
                <w:szCs w:val="21"/>
              </w:rPr>
              <w:t>日</w:t>
            </w:r>
            <w:r>
              <w:rPr>
                <w:rFonts w:hint="eastAsia" w:ascii="宋体" w:hAnsi="宋体" w:cs="宋体"/>
                <w:sz w:val="21"/>
                <w:szCs w:val="21"/>
                <w:lang w:val="en-US" w:eastAsia="zh-CN"/>
              </w:rPr>
              <w:t>统计</w:t>
            </w:r>
            <w:r>
              <w:rPr>
                <w:rFonts w:hint="eastAsia" w:ascii="宋体" w:hAnsi="宋体" w:eastAsia="宋体" w:cs="宋体"/>
                <w:sz w:val="21"/>
                <w:szCs w:val="21"/>
              </w:rPr>
              <w:t>已完成。</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环境因素</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E6.1.2</w:t>
            </w:r>
          </w:p>
        </w:tc>
        <w:tc>
          <w:tcPr>
            <w:tcW w:w="10004" w:type="dxa"/>
          </w:tcPr>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提供</w:t>
            </w:r>
            <w:r>
              <w:rPr>
                <w:rFonts w:hint="eastAsia" w:ascii="宋体" w:hAnsi="宋体" w:eastAsia="宋体" w:cs="宋体"/>
                <w:sz w:val="21"/>
                <w:szCs w:val="21"/>
              </w:rPr>
              <w:t>《环境因素识别评价汇总表》，对本部门生产和办公等有关过程的环境因素。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生产过程中的油品泄漏油、品更换、含油手套、抹布、产品生锈腐蚀、</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固废（铁屑、边角料、不合格工件、收集的抛丸粉尘、废机油、生活垃圾等）造成的土壤污染、水资源消耗、电能消耗、意外火灾引起的污染大气、生产过程（噪声排放、火灾、电能消耗、废气排放、废水排放）、设备维修（废弃丢弃、漏油）等环境因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查到：《重要环境因素清单》，公司涉及重要环境因素：火灾、固体废弃物、电能消耗、资源消耗、大气污染、噪声污染等，本部门涉及的重要环境因素：均有涉及。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TW"/>
              </w:rPr>
              <w:t>对于</w:t>
            </w:r>
            <w:r>
              <w:rPr>
                <w:rFonts w:hint="eastAsia" w:ascii="宋体" w:hAnsi="宋体" w:eastAsia="宋体" w:cs="宋体"/>
                <w:sz w:val="21"/>
                <w:szCs w:val="21"/>
              </w:rPr>
              <w:t>环境因素主要通过运行控制、管理方案、加装废气处理设施、应急准备与响应进行控制。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生产部环境因素识别、评价基本符合标准要求。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运行控制</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E8.1</w:t>
            </w:r>
          </w:p>
        </w:tc>
        <w:tc>
          <w:tcPr>
            <w:tcW w:w="10004" w:type="dxa"/>
          </w:tcPr>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编制与环境管理体系运行控制有关的文件有《环境管理控制程序》、《固体废弃物污染防治控制程序》、《废水污染防治控制程序》、《废气防治污染控制程序》、《噪声防治污染控制程序》、《能源资源管理控制程序》、《危险化学品管理控制程序》、《环保设备设施运行控制程序》、《应急预案》等。</w:t>
            </w:r>
          </w:p>
          <w:p>
            <w:pPr>
              <w:spacing w:line="360" w:lineRule="auto"/>
              <w:rPr>
                <w:rFonts w:hint="eastAsia" w:ascii="宋体" w:hAnsi="宋体" w:eastAsia="宋体" w:cs="宋体"/>
                <w:sz w:val="21"/>
                <w:szCs w:val="21"/>
              </w:rPr>
            </w:pPr>
            <w:r>
              <w:rPr>
                <w:rFonts w:hint="eastAsia" w:ascii="宋体" w:hAnsi="宋体" w:eastAsia="宋体" w:cs="宋体"/>
                <w:sz w:val="21"/>
                <w:szCs w:val="21"/>
              </w:rPr>
              <w:t>1、废水管控：废水主要包括生产用冷却水和职工生活污水。</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(1)生产冷却用水水循环使用，不外排。</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(2)生活污水主要包括厕所废水和少量职工盥洗废水，经化粪池沉淀后由当地村民清掏施肥。</w:t>
            </w:r>
          </w:p>
          <w:p>
            <w:pPr>
              <w:spacing w:line="360" w:lineRule="auto"/>
              <w:rPr>
                <w:rFonts w:hint="eastAsia" w:ascii="宋体" w:hAnsi="宋体" w:eastAsia="宋体" w:cs="宋体"/>
                <w:sz w:val="21"/>
                <w:szCs w:val="21"/>
              </w:rPr>
            </w:pPr>
            <w:r>
              <w:rPr>
                <w:rFonts w:hint="eastAsia" w:ascii="宋体" w:hAnsi="宋体" w:eastAsia="宋体" w:cs="宋体"/>
                <w:sz w:val="21"/>
                <w:szCs w:val="21"/>
              </w:rPr>
              <w:t>2、废气管控：抛丸工序粉尘由风机引至自带布袋除尘器处理后通过排气筒高空排放。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经无组织废气监测符合排放标准要求。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现场查看布袋除尘器运行正常。</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提供《布袋除尘器运行台账》，20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月期间，设备运行正常，未出现故障。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噪声管控：噪声来源于锻压机、剪断机、抛丸机、空气锤等生产设备运行过程中产生的噪声，采取厂房内操作和选用低噪声的设备和工具并做消声和减振处理，同时加强设备的检查和维保，确保机械设备在正常工况下运行，经噪声监测达标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4、固废管控：生产过程中主要为铁削和废品,生产部将其废弃物放置固定位置，积攒一定量后出售有处理能力的单位回收再利用。危险废物为车间含油抹布、废油桶、废切削液桶，采取集中收集定期回收的方式处理。生活垃圾，定期运往当地环卫部门制定处置地。</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5、能源资源管控：生产过程注意节水、节电，人走关闭设备和照明开关，现场未发现有漏水和浪费电能的现象。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公司从工艺设计和采购产品时已考虑了产品的环保性（包括原材料），生产过程中，严格按照环保等管理制度实施，控制好辅助材料的用量，避免浪费，生命周期终了时钢材进行了回收再利用。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7、潜在火灾管控：公司生产车间和办公区域配备了灭火器。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8、按有关程序和要求通报供方和顾客，采用〈告知函〉方式通报。查到相关方告知书</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9、查公司有使用</w:t>
            </w:r>
            <w:r>
              <w:rPr>
                <w:rFonts w:hint="eastAsia" w:ascii="宋体" w:hAnsi="宋体" w:cs="宋体"/>
                <w:sz w:val="21"/>
                <w:szCs w:val="21"/>
                <w:lang w:val="en-US" w:eastAsia="zh-CN"/>
              </w:rPr>
              <w:t>两个</w:t>
            </w:r>
            <w:r>
              <w:rPr>
                <w:rFonts w:hint="eastAsia" w:ascii="宋体" w:hAnsi="宋体" w:eastAsia="宋体" w:cs="宋体"/>
                <w:sz w:val="21"/>
                <w:szCs w:val="21"/>
              </w:rPr>
              <w:t>5T起重机，</w:t>
            </w:r>
            <w:r>
              <w:rPr>
                <w:rFonts w:hint="eastAsia" w:ascii="宋体" w:hAnsi="宋体" w:cs="宋体"/>
                <w:sz w:val="21"/>
                <w:szCs w:val="21"/>
                <w:lang w:val="en-US" w:eastAsia="zh-CN"/>
              </w:rPr>
              <w:t>均检验合格</w:t>
            </w:r>
            <w:r>
              <w:rPr>
                <w:rFonts w:hint="eastAsia" w:ascii="宋体" w:hAnsi="宋体" w:cs="宋体"/>
                <w:sz w:val="21"/>
                <w:szCs w:val="21"/>
                <w:lang w:eastAsia="zh-CN"/>
              </w:rPr>
              <w:t>，</w:t>
            </w:r>
            <w:r>
              <w:rPr>
                <w:rFonts w:hint="eastAsia" w:ascii="宋体" w:hAnsi="宋体" w:eastAsia="宋体" w:cs="宋体"/>
                <w:sz w:val="21"/>
                <w:szCs w:val="21"/>
              </w:rPr>
              <w:t>符合要求。</w:t>
            </w:r>
          </w:p>
          <w:p>
            <w:pPr>
              <w:pStyle w:val="2"/>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59264" behindDoc="0" locked="0" layoutInCell="1" allowOverlap="1">
                  <wp:simplePos x="0" y="0"/>
                  <wp:positionH relativeFrom="column">
                    <wp:posOffset>3745230</wp:posOffset>
                  </wp:positionH>
                  <wp:positionV relativeFrom="paragraph">
                    <wp:posOffset>-204470</wp:posOffset>
                  </wp:positionV>
                  <wp:extent cx="1644015" cy="2480945"/>
                  <wp:effectExtent l="0" t="0" r="8255" b="6985"/>
                  <wp:wrapNone/>
                  <wp:docPr id="4" name="图片 4" descr="ffe88149a04ea753ca677e4ef7553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e88149a04ea753ca677e4ef75538e"/>
                          <pic:cNvPicPr>
                            <a:picLocks noChangeAspect="1"/>
                          </pic:cNvPicPr>
                        </pic:nvPicPr>
                        <pic:blipFill>
                          <a:blip r:embed="rId6"/>
                          <a:stretch>
                            <a:fillRect/>
                          </a:stretch>
                        </pic:blipFill>
                        <pic:spPr>
                          <a:xfrm rot="16200000">
                            <a:off x="0" y="0"/>
                            <a:ext cx="1644015" cy="248094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58240" behindDoc="0" locked="0" layoutInCell="1" allowOverlap="1">
                  <wp:simplePos x="0" y="0"/>
                  <wp:positionH relativeFrom="column">
                    <wp:posOffset>741045</wp:posOffset>
                  </wp:positionH>
                  <wp:positionV relativeFrom="paragraph">
                    <wp:posOffset>-247650</wp:posOffset>
                  </wp:positionV>
                  <wp:extent cx="1752600" cy="2565400"/>
                  <wp:effectExtent l="0" t="0" r="0" b="0"/>
                  <wp:wrapNone/>
                  <wp:docPr id="3" name="图片 3" descr="3324f0382c156d92f96142ae405c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24f0382c156d92f96142ae405c2ea"/>
                          <pic:cNvPicPr>
                            <a:picLocks noChangeAspect="1"/>
                          </pic:cNvPicPr>
                        </pic:nvPicPr>
                        <pic:blipFill>
                          <a:blip r:embed="rId7"/>
                          <a:stretch>
                            <a:fillRect/>
                          </a:stretch>
                        </pic:blipFill>
                        <pic:spPr>
                          <a:xfrm rot="16200000">
                            <a:off x="0" y="0"/>
                            <a:ext cx="1752600" cy="2565400"/>
                          </a:xfrm>
                          <a:prstGeom prst="rect">
                            <a:avLst/>
                          </a:prstGeom>
                        </pic:spPr>
                      </pic:pic>
                    </a:graphicData>
                  </a:graphic>
                </wp:anchor>
              </w:drawing>
            </w:r>
          </w:p>
          <w:p>
            <w:pPr>
              <w:pStyle w:val="3"/>
              <w:rPr>
                <w:rFonts w:hint="eastAsia" w:ascii="宋体" w:hAnsi="宋体" w:eastAsia="宋体" w:cs="宋体"/>
                <w:sz w:val="21"/>
                <w:szCs w:val="21"/>
                <w:lang w:eastAsia="zh-CN"/>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lang w:eastAsia="zh-CN"/>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spacing w:line="360" w:lineRule="auto"/>
              <w:ind w:firstLine="421"/>
              <w:rPr>
                <w:rFonts w:hint="eastAsia" w:ascii="宋体" w:hAnsi="宋体" w:eastAsia="宋体" w:cs="宋体"/>
                <w:sz w:val="21"/>
                <w:szCs w:val="21"/>
              </w:rPr>
            </w:pP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10、现场观察运行控制：</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现场巡视办公及生产区域配备有灭火器多个，各车间均配有灭火器</w:t>
            </w:r>
            <w:r>
              <w:rPr>
                <w:rFonts w:hint="eastAsia" w:ascii="宋体" w:hAnsi="宋体" w:cs="宋体"/>
                <w:sz w:val="21"/>
                <w:szCs w:val="21"/>
                <w:lang w:eastAsia="zh-CN"/>
              </w:rPr>
              <w:t>。</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与车间抛丸、车工等岗位操作人员交流了解到，员工均接受过环保和职业健康安全相关知识的培训，包括应急预案及演练等，现场人员交流对机械伤害、防火、逃生均较为清楚、明确，了解本岗位的设备安全操作规程。 </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生产车间内现场设备和电线布线合理，电线均处于完好状态，设备有接地及保护装置，控制柜及漏电保护器状态良好。车间内未发现危险废物。</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环保</w:t>
            </w:r>
            <w:r>
              <w:rPr>
                <w:rFonts w:hint="eastAsia" w:ascii="宋体" w:hAnsi="宋体" w:eastAsia="宋体" w:cs="宋体"/>
                <w:bCs/>
                <w:sz w:val="21"/>
                <w:szCs w:val="21"/>
              </w:rPr>
              <w:t>运行控制满足要求</w:t>
            </w:r>
          </w:p>
          <w:p>
            <w:pPr>
              <w:spacing w:line="360" w:lineRule="auto"/>
              <w:ind w:firstLine="210" w:firstLineChars="100"/>
              <w:rPr>
                <w:rFonts w:hint="eastAsia" w:ascii="宋体" w:hAnsi="宋体" w:eastAsia="宋体" w:cs="宋体"/>
                <w:b/>
                <w:bCs/>
                <w:sz w:val="21"/>
                <w:szCs w:val="21"/>
              </w:rPr>
            </w:pPr>
            <w:r>
              <w:rPr>
                <w:rFonts w:hint="eastAsia" w:ascii="宋体" w:hAnsi="宋体" w:eastAsia="宋体" w:cs="宋体"/>
                <w:sz w:val="21"/>
                <w:szCs w:val="21"/>
              </w:rPr>
              <w:t>车间现场在环保方面的控制管理基本有效。</w:t>
            </w:r>
          </w:p>
        </w:tc>
        <w:tc>
          <w:tcPr>
            <w:tcW w:w="1585"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应急准备和相应</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E8.2</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生产部按照策划的《应急准备和响应控制程序程序》《消防安全应急预案》等，明确了相应的运行准则。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生产过程中加强用电安全，防止触电事故和火灾事故的发生，安装了漏电保护器。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现场审核时现场查看车间有灭火器若干，在有效期内。 </w:t>
            </w:r>
            <w:r>
              <w:rPr>
                <w:rFonts w:hint="eastAsia" w:ascii="宋体" w:hAnsi="宋体" w:cs="宋体"/>
                <w:sz w:val="21"/>
                <w:szCs w:val="21"/>
                <w:lang w:val="en-US" w:eastAsia="zh-CN"/>
              </w:rPr>
              <w:t>但生产车间</w:t>
            </w:r>
            <w:r>
              <w:rPr>
                <w:rFonts w:hint="eastAsia" w:ascii="宋体" w:hAnsi="宋体" w:eastAsia="宋体" w:cs="宋体"/>
                <w:sz w:val="21"/>
                <w:szCs w:val="21"/>
              </w:rPr>
              <w:t>门口</w:t>
            </w:r>
            <w:r>
              <w:rPr>
                <w:rFonts w:hint="eastAsia" w:ascii="宋体" w:hAnsi="宋体" w:cs="宋体"/>
                <w:sz w:val="21"/>
                <w:szCs w:val="21"/>
                <w:lang w:val="en-US" w:eastAsia="zh-CN"/>
              </w:rPr>
              <w:t>有灭火器缺失现象，已开具不符合。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生产现场有“禁止吸烟”， 等环保、安全警示标识。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29</w:t>
            </w:r>
            <w:r>
              <w:rPr>
                <w:rFonts w:hint="eastAsia" w:ascii="宋体" w:hAnsi="宋体" w:eastAsia="宋体" w:cs="宋体"/>
                <w:sz w:val="21"/>
                <w:szCs w:val="21"/>
              </w:rPr>
              <w:t>日参加了总公司组织的消防应急预案演练。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自体系运行以来未出现应急事故情况。</w:t>
            </w:r>
          </w:p>
        </w:tc>
        <w:tc>
          <w:tcPr>
            <w:tcW w:w="1585" w:type="dxa"/>
          </w:tcPr>
          <w:p>
            <w:pPr>
              <w:spacing w:line="36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tc>
      </w:tr>
    </w:tbl>
    <w:p>
      <w:pPr>
        <w:spacing w:line="360" w:lineRule="auto"/>
        <w:rPr>
          <w:rFonts w:ascii="楷体" w:hAnsi="楷体" w:eastAsia="楷体"/>
        </w:rPr>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2A2"/>
    <w:rsid w:val="00010B05"/>
    <w:rsid w:val="00020CA6"/>
    <w:rsid w:val="000214B6"/>
    <w:rsid w:val="00032462"/>
    <w:rsid w:val="0003373A"/>
    <w:rsid w:val="000421F8"/>
    <w:rsid w:val="00050B17"/>
    <w:rsid w:val="0005199E"/>
    <w:rsid w:val="000557D8"/>
    <w:rsid w:val="0005697E"/>
    <w:rsid w:val="00061925"/>
    <w:rsid w:val="00062EC3"/>
    <w:rsid w:val="00081821"/>
    <w:rsid w:val="00084276"/>
    <w:rsid w:val="000849D2"/>
    <w:rsid w:val="000A5E44"/>
    <w:rsid w:val="000A6DBB"/>
    <w:rsid w:val="000B1394"/>
    <w:rsid w:val="000B13C1"/>
    <w:rsid w:val="000B40BD"/>
    <w:rsid w:val="000C123B"/>
    <w:rsid w:val="000D0422"/>
    <w:rsid w:val="000E2B69"/>
    <w:rsid w:val="000E43EE"/>
    <w:rsid w:val="000F0B40"/>
    <w:rsid w:val="000F35F1"/>
    <w:rsid w:val="000F49B5"/>
    <w:rsid w:val="00102221"/>
    <w:rsid w:val="001027A6"/>
    <w:rsid w:val="00102C0C"/>
    <w:rsid w:val="001037D5"/>
    <w:rsid w:val="00127276"/>
    <w:rsid w:val="00133A9E"/>
    <w:rsid w:val="00133F17"/>
    <w:rsid w:val="00160177"/>
    <w:rsid w:val="00162423"/>
    <w:rsid w:val="00164832"/>
    <w:rsid w:val="00171246"/>
    <w:rsid w:val="00183D2D"/>
    <w:rsid w:val="00186785"/>
    <w:rsid w:val="00191AFC"/>
    <w:rsid w:val="00194BAF"/>
    <w:rsid w:val="0019749C"/>
    <w:rsid w:val="001A2D7F"/>
    <w:rsid w:val="001A3DF8"/>
    <w:rsid w:val="001A4802"/>
    <w:rsid w:val="001C1344"/>
    <w:rsid w:val="001C345C"/>
    <w:rsid w:val="001C3A56"/>
    <w:rsid w:val="001C5C73"/>
    <w:rsid w:val="001C5C87"/>
    <w:rsid w:val="001D0C70"/>
    <w:rsid w:val="00206BE5"/>
    <w:rsid w:val="00214671"/>
    <w:rsid w:val="00222532"/>
    <w:rsid w:val="00234803"/>
    <w:rsid w:val="00237445"/>
    <w:rsid w:val="00241B7D"/>
    <w:rsid w:val="002673C1"/>
    <w:rsid w:val="0028271B"/>
    <w:rsid w:val="002926AE"/>
    <w:rsid w:val="00295B8A"/>
    <w:rsid w:val="002A0E6E"/>
    <w:rsid w:val="002A1B7E"/>
    <w:rsid w:val="002A7679"/>
    <w:rsid w:val="002B018A"/>
    <w:rsid w:val="002C3E0D"/>
    <w:rsid w:val="002D41FB"/>
    <w:rsid w:val="002D46B3"/>
    <w:rsid w:val="002E09DF"/>
    <w:rsid w:val="002E1E1D"/>
    <w:rsid w:val="002E1F5A"/>
    <w:rsid w:val="002F4DA9"/>
    <w:rsid w:val="003015A0"/>
    <w:rsid w:val="003046BD"/>
    <w:rsid w:val="003358F7"/>
    <w:rsid w:val="003370D7"/>
    <w:rsid w:val="00337922"/>
    <w:rsid w:val="00340867"/>
    <w:rsid w:val="00342857"/>
    <w:rsid w:val="00355472"/>
    <w:rsid w:val="00361197"/>
    <w:rsid w:val="003627B6"/>
    <w:rsid w:val="003655B1"/>
    <w:rsid w:val="003708D5"/>
    <w:rsid w:val="00380837"/>
    <w:rsid w:val="00381A3A"/>
    <w:rsid w:val="003836CA"/>
    <w:rsid w:val="00386A98"/>
    <w:rsid w:val="003B712F"/>
    <w:rsid w:val="003D6BE3"/>
    <w:rsid w:val="003F11EC"/>
    <w:rsid w:val="003F20A5"/>
    <w:rsid w:val="004012E9"/>
    <w:rsid w:val="00405D5F"/>
    <w:rsid w:val="00410914"/>
    <w:rsid w:val="00425E89"/>
    <w:rsid w:val="00432436"/>
    <w:rsid w:val="0043494E"/>
    <w:rsid w:val="00453CC3"/>
    <w:rsid w:val="00463775"/>
    <w:rsid w:val="00465FE1"/>
    <w:rsid w:val="00475FEA"/>
    <w:rsid w:val="004772FA"/>
    <w:rsid w:val="00483C7A"/>
    <w:rsid w:val="00491735"/>
    <w:rsid w:val="00492096"/>
    <w:rsid w:val="004A368C"/>
    <w:rsid w:val="004B217F"/>
    <w:rsid w:val="004B5E36"/>
    <w:rsid w:val="004C07FE"/>
    <w:rsid w:val="004E4394"/>
    <w:rsid w:val="004E4AA7"/>
    <w:rsid w:val="00500FC6"/>
    <w:rsid w:val="0050192E"/>
    <w:rsid w:val="00513D49"/>
    <w:rsid w:val="00521CF0"/>
    <w:rsid w:val="00533E7D"/>
    <w:rsid w:val="00536930"/>
    <w:rsid w:val="00536EB7"/>
    <w:rsid w:val="00544570"/>
    <w:rsid w:val="00555215"/>
    <w:rsid w:val="00564E53"/>
    <w:rsid w:val="00570D1C"/>
    <w:rsid w:val="00583277"/>
    <w:rsid w:val="00592C3E"/>
    <w:rsid w:val="005A000F"/>
    <w:rsid w:val="005B0413"/>
    <w:rsid w:val="005B6888"/>
    <w:rsid w:val="005C1225"/>
    <w:rsid w:val="005D76D0"/>
    <w:rsid w:val="005E489C"/>
    <w:rsid w:val="005F1B92"/>
    <w:rsid w:val="005F3411"/>
    <w:rsid w:val="005F6C65"/>
    <w:rsid w:val="005F7730"/>
    <w:rsid w:val="00600F02"/>
    <w:rsid w:val="00603024"/>
    <w:rsid w:val="0060444D"/>
    <w:rsid w:val="00611DAE"/>
    <w:rsid w:val="00623D43"/>
    <w:rsid w:val="00634439"/>
    <w:rsid w:val="00642776"/>
    <w:rsid w:val="00644FE2"/>
    <w:rsid w:val="00645FB8"/>
    <w:rsid w:val="00646B24"/>
    <w:rsid w:val="00651986"/>
    <w:rsid w:val="006545E8"/>
    <w:rsid w:val="00664CAA"/>
    <w:rsid w:val="00665980"/>
    <w:rsid w:val="006702AA"/>
    <w:rsid w:val="0067640C"/>
    <w:rsid w:val="00684534"/>
    <w:rsid w:val="00692C4C"/>
    <w:rsid w:val="00694F0E"/>
    <w:rsid w:val="00695256"/>
    <w:rsid w:val="00695570"/>
    <w:rsid w:val="00696AF1"/>
    <w:rsid w:val="006A1F44"/>
    <w:rsid w:val="006A3B31"/>
    <w:rsid w:val="006A68F3"/>
    <w:rsid w:val="006A7EAD"/>
    <w:rsid w:val="006B4127"/>
    <w:rsid w:val="006B5535"/>
    <w:rsid w:val="006B6352"/>
    <w:rsid w:val="006B7A73"/>
    <w:rsid w:val="006C40B9"/>
    <w:rsid w:val="006D2A9F"/>
    <w:rsid w:val="006D5113"/>
    <w:rsid w:val="006E520F"/>
    <w:rsid w:val="006E678B"/>
    <w:rsid w:val="006F00CC"/>
    <w:rsid w:val="006F33CE"/>
    <w:rsid w:val="006F594E"/>
    <w:rsid w:val="006F7E33"/>
    <w:rsid w:val="00714FEF"/>
    <w:rsid w:val="007170AA"/>
    <w:rsid w:val="007171D0"/>
    <w:rsid w:val="00730589"/>
    <w:rsid w:val="00732B66"/>
    <w:rsid w:val="007406DE"/>
    <w:rsid w:val="00743E79"/>
    <w:rsid w:val="00750554"/>
    <w:rsid w:val="00751C37"/>
    <w:rsid w:val="007757F3"/>
    <w:rsid w:val="00777EAC"/>
    <w:rsid w:val="007815DC"/>
    <w:rsid w:val="00782345"/>
    <w:rsid w:val="00792DBE"/>
    <w:rsid w:val="00793A60"/>
    <w:rsid w:val="007960BC"/>
    <w:rsid w:val="007A47FB"/>
    <w:rsid w:val="007B0909"/>
    <w:rsid w:val="007B106B"/>
    <w:rsid w:val="007B275D"/>
    <w:rsid w:val="007E339C"/>
    <w:rsid w:val="007E6AEB"/>
    <w:rsid w:val="007F01EC"/>
    <w:rsid w:val="007F030C"/>
    <w:rsid w:val="007F6A42"/>
    <w:rsid w:val="007F7DF2"/>
    <w:rsid w:val="00803405"/>
    <w:rsid w:val="008079FA"/>
    <w:rsid w:val="0085122B"/>
    <w:rsid w:val="00853173"/>
    <w:rsid w:val="008635B1"/>
    <w:rsid w:val="00864902"/>
    <w:rsid w:val="0086555F"/>
    <w:rsid w:val="00880718"/>
    <w:rsid w:val="00882522"/>
    <w:rsid w:val="00890931"/>
    <w:rsid w:val="00896C56"/>
    <w:rsid w:val="008973EE"/>
    <w:rsid w:val="008B0F25"/>
    <w:rsid w:val="008D089D"/>
    <w:rsid w:val="008E0152"/>
    <w:rsid w:val="008F0B04"/>
    <w:rsid w:val="008F6A77"/>
    <w:rsid w:val="008F76A9"/>
    <w:rsid w:val="00904E1B"/>
    <w:rsid w:val="00923EDF"/>
    <w:rsid w:val="00924483"/>
    <w:rsid w:val="00930694"/>
    <w:rsid w:val="009323D0"/>
    <w:rsid w:val="0093521F"/>
    <w:rsid w:val="00945677"/>
    <w:rsid w:val="00946670"/>
    <w:rsid w:val="00962F78"/>
    <w:rsid w:val="0096609F"/>
    <w:rsid w:val="009711D4"/>
    <w:rsid w:val="00971600"/>
    <w:rsid w:val="0097317D"/>
    <w:rsid w:val="00977B3A"/>
    <w:rsid w:val="009973B4"/>
    <w:rsid w:val="009C7777"/>
    <w:rsid w:val="009E30DA"/>
    <w:rsid w:val="009E35C0"/>
    <w:rsid w:val="009F7EED"/>
    <w:rsid w:val="00A04935"/>
    <w:rsid w:val="00A138EC"/>
    <w:rsid w:val="00A456AF"/>
    <w:rsid w:val="00A4606C"/>
    <w:rsid w:val="00A56A93"/>
    <w:rsid w:val="00A62689"/>
    <w:rsid w:val="00A653E2"/>
    <w:rsid w:val="00A712F4"/>
    <w:rsid w:val="00A76D36"/>
    <w:rsid w:val="00A801DE"/>
    <w:rsid w:val="00A90A22"/>
    <w:rsid w:val="00A964A3"/>
    <w:rsid w:val="00AB41FC"/>
    <w:rsid w:val="00AB4BFA"/>
    <w:rsid w:val="00AB7D2F"/>
    <w:rsid w:val="00AC0A90"/>
    <w:rsid w:val="00AC19B4"/>
    <w:rsid w:val="00AD74C7"/>
    <w:rsid w:val="00AE37CA"/>
    <w:rsid w:val="00AF0AAB"/>
    <w:rsid w:val="00AF1D79"/>
    <w:rsid w:val="00AF546C"/>
    <w:rsid w:val="00B0437A"/>
    <w:rsid w:val="00B0685B"/>
    <w:rsid w:val="00B166EA"/>
    <w:rsid w:val="00B411A9"/>
    <w:rsid w:val="00B434A0"/>
    <w:rsid w:val="00B45C2D"/>
    <w:rsid w:val="00B8202D"/>
    <w:rsid w:val="00B822C7"/>
    <w:rsid w:val="00B931E4"/>
    <w:rsid w:val="00B931F5"/>
    <w:rsid w:val="00B94210"/>
    <w:rsid w:val="00B95F69"/>
    <w:rsid w:val="00BA1E88"/>
    <w:rsid w:val="00BA25C0"/>
    <w:rsid w:val="00BC2015"/>
    <w:rsid w:val="00BD6549"/>
    <w:rsid w:val="00BE2A1A"/>
    <w:rsid w:val="00BF04D9"/>
    <w:rsid w:val="00BF4401"/>
    <w:rsid w:val="00BF4EC2"/>
    <w:rsid w:val="00BF597E"/>
    <w:rsid w:val="00C24C9B"/>
    <w:rsid w:val="00C31C73"/>
    <w:rsid w:val="00C51A36"/>
    <w:rsid w:val="00C548BE"/>
    <w:rsid w:val="00C55228"/>
    <w:rsid w:val="00C67A2A"/>
    <w:rsid w:val="00C67E19"/>
    <w:rsid w:val="00C67E47"/>
    <w:rsid w:val="00C71E85"/>
    <w:rsid w:val="00C86F9B"/>
    <w:rsid w:val="00CA1C09"/>
    <w:rsid w:val="00CA690D"/>
    <w:rsid w:val="00CB1E22"/>
    <w:rsid w:val="00CB260B"/>
    <w:rsid w:val="00CC187B"/>
    <w:rsid w:val="00CC2F1B"/>
    <w:rsid w:val="00CC3D9A"/>
    <w:rsid w:val="00CE315A"/>
    <w:rsid w:val="00CE7BE1"/>
    <w:rsid w:val="00CF1726"/>
    <w:rsid w:val="00CF6C5C"/>
    <w:rsid w:val="00CF7E7F"/>
    <w:rsid w:val="00D06F59"/>
    <w:rsid w:val="00D0742D"/>
    <w:rsid w:val="00D21285"/>
    <w:rsid w:val="00D3392D"/>
    <w:rsid w:val="00D36203"/>
    <w:rsid w:val="00D43964"/>
    <w:rsid w:val="00D5397E"/>
    <w:rsid w:val="00D55E69"/>
    <w:rsid w:val="00D562F6"/>
    <w:rsid w:val="00D6418F"/>
    <w:rsid w:val="00D83753"/>
    <w:rsid w:val="00D8388C"/>
    <w:rsid w:val="00D838ED"/>
    <w:rsid w:val="00D91EE4"/>
    <w:rsid w:val="00DA3748"/>
    <w:rsid w:val="00DA7238"/>
    <w:rsid w:val="00DB5EE9"/>
    <w:rsid w:val="00DD15AC"/>
    <w:rsid w:val="00DD690F"/>
    <w:rsid w:val="00DE15C5"/>
    <w:rsid w:val="00DE2645"/>
    <w:rsid w:val="00DE2D80"/>
    <w:rsid w:val="00DE2F81"/>
    <w:rsid w:val="00DE650B"/>
    <w:rsid w:val="00DF11FF"/>
    <w:rsid w:val="00DF72F9"/>
    <w:rsid w:val="00E038E4"/>
    <w:rsid w:val="00E06FC4"/>
    <w:rsid w:val="00E10651"/>
    <w:rsid w:val="00E11153"/>
    <w:rsid w:val="00E14458"/>
    <w:rsid w:val="00E173A4"/>
    <w:rsid w:val="00E43418"/>
    <w:rsid w:val="00E43822"/>
    <w:rsid w:val="00E51D6F"/>
    <w:rsid w:val="00E63714"/>
    <w:rsid w:val="00E64B9B"/>
    <w:rsid w:val="00E65129"/>
    <w:rsid w:val="00E8025C"/>
    <w:rsid w:val="00E95A68"/>
    <w:rsid w:val="00E97424"/>
    <w:rsid w:val="00EA55F7"/>
    <w:rsid w:val="00EA6F97"/>
    <w:rsid w:val="00EB0164"/>
    <w:rsid w:val="00EB0BDD"/>
    <w:rsid w:val="00EC42F5"/>
    <w:rsid w:val="00ED0F62"/>
    <w:rsid w:val="00EE654C"/>
    <w:rsid w:val="00F019E4"/>
    <w:rsid w:val="00F06CFC"/>
    <w:rsid w:val="00F075C4"/>
    <w:rsid w:val="00F1123C"/>
    <w:rsid w:val="00F136ED"/>
    <w:rsid w:val="00F35603"/>
    <w:rsid w:val="00F606E1"/>
    <w:rsid w:val="00F67CBA"/>
    <w:rsid w:val="00F721C7"/>
    <w:rsid w:val="00F83639"/>
    <w:rsid w:val="00F840C3"/>
    <w:rsid w:val="00F94E47"/>
    <w:rsid w:val="00F956F5"/>
    <w:rsid w:val="00FA0833"/>
    <w:rsid w:val="00FA350D"/>
    <w:rsid w:val="00FA4584"/>
    <w:rsid w:val="00FB7752"/>
    <w:rsid w:val="00FC5B50"/>
    <w:rsid w:val="00FC7CBE"/>
    <w:rsid w:val="00FD2869"/>
    <w:rsid w:val="00FD5EE5"/>
    <w:rsid w:val="00FD72A6"/>
    <w:rsid w:val="00FE76F9"/>
    <w:rsid w:val="00FF6091"/>
    <w:rsid w:val="03586C19"/>
    <w:rsid w:val="0FB1318A"/>
    <w:rsid w:val="108219C2"/>
    <w:rsid w:val="35072422"/>
    <w:rsid w:val="3B6337CB"/>
    <w:rsid w:val="3CF46AD1"/>
    <w:rsid w:val="4AF876C0"/>
    <w:rsid w:val="4BE160D2"/>
    <w:rsid w:val="52835E6C"/>
    <w:rsid w:val="53DA1A29"/>
    <w:rsid w:val="554224A2"/>
    <w:rsid w:val="5EA12B9A"/>
    <w:rsid w:val="605C0D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405</Words>
  <Characters>2310</Characters>
  <Lines>19</Lines>
  <Paragraphs>5</Paragraphs>
  <TotalTime>3</TotalTime>
  <ScaleCrop>false</ScaleCrop>
  <LinksUpToDate>false</LinksUpToDate>
  <CharactersWithSpaces>2710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2021-01-09T08:38:17Z</dcterms:modified>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