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ascii="楷体" w:hAnsi="楷体" w:eastAsia="楷体"/>
          <w:bCs/>
          <w:color w:val="000000"/>
          <w:sz w:val="36"/>
          <w:szCs w:val="36"/>
        </w:rPr>
      </w:pPr>
      <w:r>
        <w:rPr>
          <w:rFonts w:hint="eastAsia" w:ascii="楷体" w:hAnsi="楷体" w:eastAsia="楷体"/>
          <w:bCs/>
          <w:color w:val="000000"/>
          <w:sz w:val="36"/>
          <w:szCs w:val="36"/>
        </w:rPr>
        <w:t>管理体系审核记录表</w:t>
      </w:r>
    </w:p>
    <w:tbl>
      <w:tblPr>
        <w:tblStyle w:val="5"/>
        <w:tblW w:w="1470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9"/>
        <w:gridCol w:w="1311"/>
        <w:gridCol w:w="10004"/>
        <w:gridCol w:w="15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809" w:type="dxa"/>
            <w:vMerge w:val="restart"/>
            <w:vAlign w:val="center"/>
          </w:tcPr>
          <w:p>
            <w:pPr>
              <w:spacing w:before="120"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过程与活动、</w:t>
            </w:r>
          </w:p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抽样计划</w:t>
            </w:r>
          </w:p>
        </w:tc>
        <w:tc>
          <w:tcPr>
            <w:tcW w:w="1311" w:type="dxa"/>
            <w:vMerge w:val="restart"/>
            <w:vAlign w:val="center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涉及条款</w:t>
            </w:r>
          </w:p>
        </w:tc>
        <w:tc>
          <w:tcPr>
            <w:tcW w:w="10004" w:type="dxa"/>
            <w:vAlign w:val="center"/>
          </w:tcPr>
          <w:p>
            <w:pPr>
              <w:spacing w:line="360" w:lineRule="auto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受审核部门：技术质量部     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主管领导：庞军虎   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 xml:space="preserve">             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  陪同人员：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沙宏涛</w:t>
            </w:r>
            <w:bookmarkStart w:id="0" w:name="_GoBack"/>
            <w:bookmarkEnd w:id="0"/>
          </w:p>
        </w:tc>
        <w:tc>
          <w:tcPr>
            <w:tcW w:w="1585" w:type="dxa"/>
            <w:vMerge w:val="restart"/>
            <w:vAlign w:val="center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判定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809" w:type="dxa"/>
            <w:vMerge w:val="continue"/>
            <w:vAlign w:val="center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311" w:type="dxa"/>
            <w:vMerge w:val="continue"/>
            <w:vAlign w:val="center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004" w:type="dxa"/>
            <w:vAlign w:val="center"/>
          </w:tcPr>
          <w:p>
            <w:pPr>
              <w:spacing w:before="120" w:line="360" w:lineRule="auto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审核员：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李俐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        审核时间：20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21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.1.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9</w:t>
            </w:r>
          </w:p>
        </w:tc>
        <w:tc>
          <w:tcPr>
            <w:tcW w:w="1585" w:type="dxa"/>
            <w:vMerge w:val="continue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1809" w:type="dxa"/>
            <w:vMerge w:val="continue"/>
            <w:vAlign w:val="center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311" w:type="dxa"/>
            <w:vMerge w:val="continue"/>
            <w:vAlign w:val="center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004" w:type="dxa"/>
            <w:vAlign w:val="center"/>
          </w:tcPr>
          <w:p>
            <w:pPr>
              <w:adjustRightInd w:val="0"/>
              <w:snapToGrid w:val="0"/>
              <w:spacing w:line="360" w:lineRule="auto"/>
              <w:ind w:right="105" w:rightChars="50"/>
              <w:jc w:val="left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审核条款：</w:t>
            </w:r>
          </w:p>
          <w:p>
            <w:pPr>
              <w:adjustRightInd w:val="0"/>
              <w:snapToGrid w:val="0"/>
              <w:spacing w:line="360" w:lineRule="auto"/>
              <w:ind w:right="105" w:rightChars="50"/>
              <w:jc w:val="left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EMS：5.3组织的岗位、职责和权限、6.2环境目标、6.1.2环境因素、8.1运行策划和控制，</w:t>
            </w:r>
          </w:p>
        </w:tc>
        <w:tc>
          <w:tcPr>
            <w:tcW w:w="1585" w:type="dxa"/>
            <w:vMerge w:val="continue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5" w:hRule="atLeast"/>
        </w:trPr>
        <w:tc>
          <w:tcPr>
            <w:tcW w:w="1809" w:type="dxa"/>
            <w:vAlign w:val="center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职责权限</w:t>
            </w:r>
          </w:p>
        </w:tc>
        <w:tc>
          <w:tcPr>
            <w:tcW w:w="1311" w:type="dxa"/>
          </w:tcPr>
          <w:p>
            <w:pPr>
              <w:snapToGrid w:val="0"/>
              <w:spacing w:line="360" w:lineRule="auto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</w:p>
          <w:p>
            <w:pPr>
              <w:snapToGrid w:val="0"/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E5.3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 </w:t>
            </w:r>
          </w:p>
        </w:tc>
        <w:tc>
          <w:tcPr>
            <w:tcW w:w="10004" w:type="dxa"/>
          </w:tcPr>
          <w:p>
            <w:pPr>
              <w:spacing w:line="360" w:lineRule="auto"/>
              <w:ind w:firstLine="420" w:firstLineChars="20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询问技术质量部负责人能明确本人在环境管理体系方面的职责：产品检验、产品研发和技术支持，部门环境因素识别评价及运行控制。</w:t>
            </w:r>
          </w:p>
        </w:tc>
        <w:tc>
          <w:tcPr>
            <w:tcW w:w="1585" w:type="dxa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7" w:hRule="atLeast"/>
        </w:trPr>
        <w:tc>
          <w:tcPr>
            <w:tcW w:w="1809" w:type="dxa"/>
            <w:vAlign w:val="center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目标 </w:t>
            </w:r>
          </w:p>
        </w:tc>
        <w:tc>
          <w:tcPr>
            <w:tcW w:w="1311" w:type="dxa"/>
            <w:vAlign w:val="center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E6.2</w:t>
            </w:r>
          </w:p>
        </w:tc>
        <w:tc>
          <w:tcPr>
            <w:tcW w:w="10004" w:type="dxa"/>
          </w:tcPr>
          <w:p>
            <w:pPr>
              <w:snapToGrid w:val="0"/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本部门的目标有:</w:t>
            </w:r>
          </w:p>
          <w:p>
            <w:pPr>
              <w:snapToGrid w:val="0"/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固体废弃物有效处理率为100%，</w:t>
            </w:r>
          </w:p>
          <w:p>
            <w:pPr>
              <w:snapToGrid w:val="0"/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20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21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.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.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日经考核目标已达成。   </w:t>
            </w:r>
          </w:p>
        </w:tc>
        <w:tc>
          <w:tcPr>
            <w:tcW w:w="1585" w:type="dxa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9" w:hRule="atLeast"/>
        </w:trPr>
        <w:tc>
          <w:tcPr>
            <w:tcW w:w="1809" w:type="dxa"/>
            <w:vAlign w:val="center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环境因素</w:t>
            </w:r>
          </w:p>
        </w:tc>
        <w:tc>
          <w:tcPr>
            <w:tcW w:w="1311" w:type="dxa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E:6.1.2</w:t>
            </w:r>
          </w:p>
        </w:tc>
        <w:tc>
          <w:tcPr>
            <w:tcW w:w="10004" w:type="dxa"/>
          </w:tcPr>
          <w:p>
            <w:pPr>
              <w:snapToGrid w:val="0"/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   按照办公过程及质检、技术支持过程对环境因素进行了辨识，辨识时考虑了三种时态：过去、现在和将来，和三种状态：正常、异常和紧急。</w:t>
            </w:r>
          </w:p>
          <w:p>
            <w:pPr>
              <w:spacing w:line="360" w:lineRule="auto"/>
              <w:ind w:firstLine="420" w:firstLineChars="20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查《环境因素识别及评价表》，技术质量部相关的环境因素主要包括日常办公火灾，日常办公水、电、气消耗浪费，日常办公废旧墨粉/硒鼓/墨盒丢弃，日常办公废旧纸/报纸/纸箱/废旧塑料丢弃，日常办公电脑电器使用电能消耗，检验过程的电能消耗，检验废品产生等。</w:t>
            </w:r>
          </w:p>
          <w:p>
            <w:pPr>
              <w:spacing w:line="360" w:lineRule="auto"/>
              <w:ind w:firstLine="420" w:firstLineChars="20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技术质量部重要环境因素：固废排放、火灾事故的发生。</w:t>
            </w:r>
          </w:p>
          <w:p>
            <w:pPr>
              <w:spacing w:line="360" w:lineRule="auto"/>
              <w:ind w:firstLine="420" w:firstLineChars="20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控制措施：固废分类存放、垃圾等由办公室负责按规定处置，日常培训教育，配备消防器材、应急预案等措施。</w:t>
            </w:r>
          </w:p>
          <w:p>
            <w:pPr>
              <w:snapToGrid w:val="0"/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    部门识别和评价基本充分，符合规定要求。</w:t>
            </w:r>
          </w:p>
        </w:tc>
        <w:tc>
          <w:tcPr>
            <w:tcW w:w="1585" w:type="dxa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8" w:hRule="atLeast"/>
        </w:trPr>
        <w:tc>
          <w:tcPr>
            <w:tcW w:w="1809" w:type="dxa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运行控制和策划</w:t>
            </w:r>
          </w:p>
        </w:tc>
        <w:tc>
          <w:tcPr>
            <w:tcW w:w="1311" w:type="dxa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E8.1</w:t>
            </w:r>
          </w:p>
        </w:tc>
        <w:tc>
          <w:tcPr>
            <w:tcW w:w="10004" w:type="dxa"/>
          </w:tcPr>
          <w:p>
            <w:pPr>
              <w:spacing w:line="360" w:lineRule="auto"/>
              <w:ind w:firstLine="420" w:firstLineChars="20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本部门办公中产生的废弃物，由综合管理部统一处理。对可回收的固体废弃物，一部分由厂家回收，厂家不回收的公司统一回收再利用或由物资回收公司处理，不可回收的废弃物由公司综合管理部统一处理。</w:t>
            </w:r>
          </w:p>
          <w:p>
            <w:pPr>
              <w:spacing w:line="360" w:lineRule="auto"/>
              <w:ind w:firstLine="420" w:firstLineChars="20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技术质量部在车间现场时注意碰伤、砸伤、滑倒等人身伤害，进入车间必须穿戴工作服和劳保用品，在车间遵守环保制度，禁止吸烟，垃圾放入分类垃圾箱。</w:t>
            </w:r>
          </w:p>
          <w:p>
            <w:pPr>
              <w:spacing w:line="360" w:lineRule="auto"/>
              <w:ind w:firstLine="420" w:firstLineChars="20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实验室干净整洁，仪器摆放整齐，有分类垃圾桶。</w:t>
            </w:r>
          </w:p>
          <w:p>
            <w:pPr>
              <w:spacing w:line="360" w:lineRule="auto"/>
              <w:ind w:firstLine="420" w:firstLineChars="20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检验过程不使用化学品。</w:t>
            </w:r>
          </w:p>
          <w:p>
            <w:pPr>
              <w:tabs>
                <w:tab w:val="left" w:pos="6597"/>
              </w:tabs>
              <w:spacing w:line="360" w:lineRule="auto"/>
              <w:ind w:firstLine="420" w:firstLineChars="20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20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20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.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.2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日技术质量部人员参与了公司组织的消防应急预案演练，通过演练学到了应急和救援的知识，基本符合。</w:t>
            </w:r>
          </w:p>
        </w:tc>
        <w:tc>
          <w:tcPr>
            <w:tcW w:w="1585" w:type="dxa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9" w:hRule="atLeast"/>
        </w:trPr>
        <w:tc>
          <w:tcPr>
            <w:tcW w:w="1809" w:type="dxa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311" w:type="dxa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004" w:type="dxa"/>
          </w:tcPr>
          <w:p>
            <w:pPr>
              <w:spacing w:line="360" w:lineRule="auto"/>
              <w:ind w:firstLine="420" w:firstLineChars="20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585" w:type="dxa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</w:tbl>
    <w:p>
      <w:pPr>
        <w:spacing w:line="360" w:lineRule="auto"/>
        <w:rPr>
          <w:rFonts w:ascii="楷体" w:hAnsi="楷体" w:eastAsia="楷体"/>
        </w:rPr>
      </w:pPr>
      <w:r>
        <w:rPr>
          <w:rFonts w:ascii="楷体" w:hAnsi="楷体" w:eastAsia="楷体"/>
        </w:rPr>
        <w:ptab w:relativeTo="margin" w:alignment="center" w:leader="none"/>
      </w:r>
    </w:p>
    <w:p>
      <w:pPr>
        <w:spacing w:line="360" w:lineRule="auto"/>
        <w:rPr>
          <w:rFonts w:ascii="楷体" w:hAnsi="楷体" w:eastAsia="楷体"/>
        </w:rPr>
      </w:pPr>
    </w:p>
    <w:p>
      <w:pPr>
        <w:pStyle w:val="3"/>
        <w:spacing w:line="360" w:lineRule="auto"/>
        <w:rPr>
          <w:rFonts w:ascii="楷体" w:hAnsi="楷体" w:eastAsia="楷体"/>
        </w:rPr>
      </w:pPr>
      <w:r>
        <w:rPr>
          <w:rFonts w:hint="eastAsia" w:ascii="楷体" w:hAnsi="楷体" w:eastAsia="楷体"/>
        </w:rPr>
        <w:t>说明：不符合标注N</w:t>
      </w:r>
    </w:p>
    <w:sectPr>
      <w:headerReference r:id="rId3" w:type="default"/>
      <w:footerReference r:id="rId4" w:type="default"/>
      <w:pgSz w:w="16838" w:h="11906" w:orient="landscape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900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>
            <w:pPr>
              <w:pStyle w:val="3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10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0"/>
        <w:rFonts w:hint="default"/>
      </w:rPr>
      <w:t>北京国标联合认证有限公司</w:t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</w:p>
  <w:p>
    <w:pPr>
      <w:pStyle w:val="4"/>
      <w:pBdr>
        <w:bottom w:val="none" w:color="auto" w:sz="0" w:space="1"/>
      </w:pBdr>
      <w:spacing w:line="320" w:lineRule="exact"/>
      <w:jc w:val="left"/>
    </w:pPr>
    <w:r>
      <w:pict>
        <v:shape id="文本框 1" o:spid="_x0000_s2050" o:spt="202" type="#_x0000_t202" style="position:absolute;left:0pt;margin-left:554.75pt;margin-top:2.2pt;height:20.2pt;width:172pt;z-index:251661312;mso-width-relative:page;mso-height-relative:page;" stroked="f" coordsize="21600,21600" o:gfxdata="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ISC-B-II-10 管理体系审核记录表(03版)</w:t>
                </w:r>
              </w:p>
            </w:txbxContent>
          </v:textbox>
        </v:shape>
      </w:pict>
    </w:r>
    <w:r>
      <w:rPr>
        <w:rStyle w:val="10"/>
        <w:rFonts w:hint="default"/>
      </w:rPr>
      <w:t xml:space="preserve">        </w:t>
    </w:r>
    <w:r>
      <w:rPr>
        <w:rStyle w:val="10"/>
        <w:rFonts w:hint="default"/>
        <w:w w:val="90"/>
      </w:rPr>
      <w:t>Beijing International Standard united Certification Co.,Ltd.</w:t>
    </w:r>
    <w:r>
      <w:rPr>
        <w:rStyle w:val="10"/>
        <w:rFonts w:hint="default"/>
        <w:w w:val="90"/>
        <w:szCs w:val="21"/>
      </w:rPr>
      <w:t xml:space="preserve">  </w:t>
    </w:r>
    <w:r>
      <w:rPr>
        <w:rStyle w:val="10"/>
        <w:rFonts w:hint="default"/>
        <w:w w:val="90"/>
        <w:sz w:val="20"/>
      </w:rPr>
      <w:t xml:space="preserve"> </w:t>
    </w:r>
    <w:r>
      <w:rPr>
        <w:rStyle w:val="10"/>
        <w:rFonts w:hint="default"/>
        <w:w w:val="90"/>
      </w:rPr>
      <w:t xml:space="preserve">                   </w:t>
    </w:r>
  </w:p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973B4"/>
    <w:rsid w:val="00004BC6"/>
    <w:rsid w:val="00010B05"/>
    <w:rsid w:val="00020CA6"/>
    <w:rsid w:val="000214B6"/>
    <w:rsid w:val="00032462"/>
    <w:rsid w:val="0003373A"/>
    <w:rsid w:val="0005199E"/>
    <w:rsid w:val="00052A38"/>
    <w:rsid w:val="0005697E"/>
    <w:rsid w:val="00060FFB"/>
    <w:rsid w:val="00081821"/>
    <w:rsid w:val="000849D2"/>
    <w:rsid w:val="000A5E44"/>
    <w:rsid w:val="000A6DBB"/>
    <w:rsid w:val="000B1394"/>
    <w:rsid w:val="000B13C1"/>
    <w:rsid w:val="000B40BD"/>
    <w:rsid w:val="000C123B"/>
    <w:rsid w:val="000E2B69"/>
    <w:rsid w:val="000E582D"/>
    <w:rsid w:val="000E77E7"/>
    <w:rsid w:val="000F0B40"/>
    <w:rsid w:val="000F215B"/>
    <w:rsid w:val="000F35F1"/>
    <w:rsid w:val="000F45FE"/>
    <w:rsid w:val="000F49B5"/>
    <w:rsid w:val="001037D5"/>
    <w:rsid w:val="00127276"/>
    <w:rsid w:val="00133F17"/>
    <w:rsid w:val="00146355"/>
    <w:rsid w:val="00171246"/>
    <w:rsid w:val="00191AFC"/>
    <w:rsid w:val="001A2D7F"/>
    <w:rsid w:val="001A3DF8"/>
    <w:rsid w:val="001C5C73"/>
    <w:rsid w:val="001C5C87"/>
    <w:rsid w:val="001D6F16"/>
    <w:rsid w:val="00214671"/>
    <w:rsid w:val="00221E12"/>
    <w:rsid w:val="00222532"/>
    <w:rsid w:val="00233DF2"/>
    <w:rsid w:val="00234803"/>
    <w:rsid w:val="00237445"/>
    <w:rsid w:val="002926AE"/>
    <w:rsid w:val="00295B8A"/>
    <w:rsid w:val="002A0E6E"/>
    <w:rsid w:val="002A1B7E"/>
    <w:rsid w:val="002A7679"/>
    <w:rsid w:val="002B018A"/>
    <w:rsid w:val="002C3E0D"/>
    <w:rsid w:val="002D41FB"/>
    <w:rsid w:val="002E09DF"/>
    <w:rsid w:val="002E1E1D"/>
    <w:rsid w:val="002F4DA9"/>
    <w:rsid w:val="003059C2"/>
    <w:rsid w:val="003358F7"/>
    <w:rsid w:val="00336DB3"/>
    <w:rsid w:val="00337922"/>
    <w:rsid w:val="00340140"/>
    <w:rsid w:val="00340867"/>
    <w:rsid w:val="00342857"/>
    <w:rsid w:val="00355472"/>
    <w:rsid w:val="00361197"/>
    <w:rsid w:val="003627B6"/>
    <w:rsid w:val="003708D5"/>
    <w:rsid w:val="0037447C"/>
    <w:rsid w:val="00380837"/>
    <w:rsid w:val="00381A3A"/>
    <w:rsid w:val="003836CA"/>
    <w:rsid w:val="00386A98"/>
    <w:rsid w:val="003A6AF7"/>
    <w:rsid w:val="003B712F"/>
    <w:rsid w:val="003D387A"/>
    <w:rsid w:val="003D6BE3"/>
    <w:rsid w:val="003F20A5"/>
    <w:rsid w:val="00405D5F"/>
    <w:rsid w:val="00410914"/>
    <w:rsid w:val="00425E89"/>
    <w:rsid w:val="0043494E"/>
    <w:rsid w:val="00453CC3"/>
    <w:rsid w:val="00465FE1"/>
    <w:rsid w:val="00475FEA"/>
    <w:rsid w:val="00477299"/>
    <w:rsid w:val="004772FA"/>
    <w:rsid w:val="00491735"/>
    <w:rsid w:val="00497F35"/>
    <w:rsid w:val="004B217F"/>
    <w:rsid w:val="004B5E36"/>
    <w:rsid w:val="004C07FE"/>
    <w:rsid w:val="00500FC6"/>
    <w:rsid w:val="00521CF0"/>
    <w:rsid w:val="00532B35"/>
    <w:rsid w:val="00536930"/>
    <w:rsid w:val="00557BAA"/>
    <w:rsid w:val="00564E53"/>
    <w:rsid w:val="0056653F"/>
    <w:rsid w:val="00583277"/>
    <w:rsid w:val="00592C3E"/>
    <w:rsid w:val="005A000F"/>
    <w:rsid w:val="005B0413"/>
    <w:rsid w:val="005B6888"/>
    <w:rsid w:val="005E489C"/>
    <w:rsid w:val="005E6364"/>
    <w:rsid w:val="005E6E5C"/>
    <w:rsid w:val="005F3411"/>
    <w:rsid w:val="005F6C65"/>
    <w:rsid w:val="00600F02"/>
    <w:rsid w:val="00603024"/>
    <w:rsid w:val="0060444D"/>
    <w:rsid w:val="00611DAE"/>
    <w:rsid w:val="00627B82"/>
    <w:rsid w:val="00642776"/>
    <w:rsid w:val="00644FE2"/>
    <w:rsid w:val="00645FB8"/>
    <w:rsid w:val="00651986"/>
    <w:rsid w:val="006545E8"/>
    <w:rsid w:val="0066167F"/>
    <w:rsid w:val="00665980"/>
    <w:rsid w:val="006702AA"/>
    <w:rsid w:val="0067640C"/>
    <w:rsid w:val="00692C4C"/>
    <w:rsid w:val="00694F0E"/>
    <w:rsid w:val="00695256"/>
    <w:rsid w:val="00695570"/>
    <w:rsid w:val="00696AF1"/>
    <w:rsid w:val="006A3B31"/>
    <w:rsid w:val="006A68F3"/>
    <w:rsid w:val="006B4127"/>
    <w:rsid w:val="006C40B9"/>
    <w:rsid w:val="006D2A9F"/>
    <w:rsid w:val="006D7B99"/>
    <w:rsid w:val="006E678B"/>
    <w:rsid w:val="006F594E"/>
    <w:rsid w:val="00716887"/>
    <w:rsid w:val="007170AA"/>
    <w:rsid w:val="007171D0"/>
    <w:rsid w:val="00726F7C"/>
    <w:rsid w:val="00732B66"/>
    <w:rsid w:val="007406DE"/>
    <w:rsid w:val="00743E79"/>
    <w:rsid w:val="00751C37"/>
    <w:rsid w:val="00757490"/>
    <w:rsid w:val="007757F3"/>
    <w:rsid w:val="00777EAC"/>
    <w:rsid w:val="007815DC"/>
    <w:rsid w:val="00793AEF"/>
    <w:rsid w:val="007A47FB"/>
    <w:rsid w:val="007B106B"/>
    <w:rsid w:val="007B1376"/>
    <w:rsid w:val="007B275D"/>
    <w:rsid w:val="007E6AEB"/>
    <w:rsid w:val="007F01EC"/>
    <w:rsid w:val="007F7DF2"/>
    <w:rsid w:val="008079FA"/>
    <w:rsid w:val="008270AE"/>
    <w:rsid w:val="0085074C"/>
    <w:rsid w:val="0085122B"/>
    <w:rsid w:val="00864902"/>
    <w:rsid w:val="00880718"/>
    <w:rsid w:val="00882522"/>
    <w:rsid w:val="00885823"/>
    <w:rsid w:val="00890931"/>
    <w:rsid w:val="00896C56"/>
    <w:rsid w:val="008973EE"/>
    <w:rsid w:val="008A0F6C"/>
    <w:rsid w:val="008A3661"/>
    <w:rsid w:val="008B74BF"/>
    <w:rsid w:val="008D089D"/>
    <w:rsid w:val="008F0B04"/>
    <w:rsid w:val="008F76A9"/>
    <w:rsid w:val="00904E1B"/>
    <w:rsid w:val="00930694"/>
    <w:rsid w:val="009323D0"/>
    <w:rsid w:val="0093521F"/>
    <w:rsid w:val="00945677"/>
    <w:rsid w:val="00946670"/>
    <w:rsid w:val="00962F78"/>
    <w:rsid w:val="0096609F"/>
    <w:rsid w:val="009711D4"/>
    <w:rsid w:val="00971600"/>
    <w:rsid w:val="0097317D"/>
    <w:rsid w:val="0098731F"/>
    <w:rsid w:val="009973B4"/>
    <w:rsid w:val="009E30DA"/>
    <w:rsid w:val="009E35C0"/>
    <w:rsid w:val="009F7EED"/>
    <w:rsid w:val="00A04935"/>
    <w:rsid w:val="00A138EC"/>
    <w:rsid w:val="00A40656"/>
    <w:rsid w:val="00A456AF"/>
    <w:rsid w:val="00A4606C"/>
    <w:rsid w:val="00A62689"/>
    <w:rsid w:val="00A653E2"/>
    <w:rsid w:val="00A76D36"/>
    <w:rsid w:val="00A801DE"/>
    <w:rsid w:val="00A90A22"/>
    <w:rsid w:val="00AB41FC"/>
    <w:rsid w:val="00AB4BFA"/>
    <w:rsid w:val="00AB7D2F"/>
    <w:rsid w:val="00AC0A90"/>
    <w:rsid w:val="00AC19B4"/>
    <w:rsid w:val="00AF0AAB"/>
    <w:rsid w:val="00B01626"/>
    <w:rsid w:val="00B0685B"/>
    <w:rsid w:val="00B166EA"/>
    <w:rsid w:val="00B36028"/>
    <w:rsid w:val="00B3703A"/>
    <w:rsid w:val="00B411A9"/>
    <w:rsid w:val="00B45C2D"/>
    <w:rsid w:val="00B8202D"/>
    <w:rsid w:val="00B931E4"/>
    <w:rsid w:val="00B95F69"/>
    <w:rsid w:val="00BA1E88"/>
    <w:rsid w:val="00BA25C0"/>
    <w:rsid w:val="00BC2015"/>
    <w:rsid w:val="00BD6549"/>
    <w:rsid w:val="00BE2A1A"/>
    <w:rsid w:val="00BF1937"/>
    <w:rsid w:val="00BF4EC2"/>
    <w:rsid w:val="00BF597E"/>
    <w:rsid w:val="00C3024E"/>
    <w:rsid w:val="00C31C73"/>
    <w:rsid w:val="00C47A81"/>
    <w:rsid w:val="00C51A36"/>
    <w:rsid w:val="00C548BE"/>
    <w:rsid w:val="00C55228"/>
    <w:rsid w:val="00C65268"/>
    <w:rsid w:val="00C67A2A"/>
    <w:rsid w:val="00C67E19"/>
    <w:rsid w:val="00C67E47"/>
    <w:rsid w:val="00C701D9"/>
    <w:rsid w:val="00C71E85"/>
    <w:rsid w:val="00C86F9B"/>
    <w:rsid w:val="00CA1725"/>
    <w:rsid w:val="00CB260B"/>
    <w:rsid w:val="00CC2F1B"/>
    <w:rsid w:val="00CC3D9A"/>
    <w:rsid w:val="00CE315A"/>
    <w:rsid w:val="00CE7BE1"/>
    <w:rsid w:val="00CF1726"/>
    <w:rsid w:val="00CF36EC"/>
    <w:rsid w:val="00CF6C5C"/>
    <w:rsid w:val="00CF7E7F"/>
    <w:rsid w:val="00D003E1"/>
    <w:rsid w:val="00D06F59"/>
    <w:rsid w:val="00D073AC"/>
    <w:rsid w:val="00D0742D"/>
    <w:rsid w:val="00D21285"/>
    <w:rsid w:val="00D3392D"/>
    <w:rsid w:val="00D43964"/>
    <w:rsid w:val="00D55E69"/>
    <w:rsid w:val="00D562F6"/>
    <w:rsid w:val="00D663A0"/>
    <w:rsid w:val="00D70B37"/>
    <w:rsid w:val="00D83753"/>
    <w:rsid w:val="00D8388C"/>
    <w:rsid w:val="00D838ED"/>
    <w:rsid w:val="00D91EE4"/>
    <w:rsid w:val="00DA7238"/>
    <w:rsid w:val="00DB5EE9"/>
    <w:rsid w:val="00DD15AC"/>
    <w:rsid w:val="00DE2645"/>
    <w:rsid w:val="00DE2D80"/>
    <w:rsid w:val="00DF72F9"/>
    <w:rsid w:val="00E038E4"/>
    <w:rsid w:val="00E06FC4"/>
    <w:rsid w:val="00E11153"/>
    <w:rsid w:val="00E14458"/>
    <w:rsid w:val="00E173A4"/>
    <w:rsid w:val="00E43418"/>
    <w:rsid w:val="00E43822"/>
    <w:rsid w:val="00E63714"/>
    <w:rsid w:val="00E65129"/>
    <w:rsid w:val="00E82C6A"/>
    <w:rsid w:val="00E95A68"/>
    <w:rsid w:val="00E97424"/>
    <w:rsid w:val="00EA55F7"/>
    <w:rsid w:val="00EA6F97"/>
    <w:rsid w:val="00EB0164"/>
    <w:rsid w:val="00EC42F5"/>
    <w:rsid w:val="00EC49DA"/>
    <w:rsid w:val="00ED0F62"/>
    <w:rsid w:val="00EE654C"/>
    <w:rsid w:val="00EF5938"/>
    <w:rsid w:val="00F136ED"/>
    <w:rsid w:val="00F35603"/>
    <w:rsid w:val="00F606E1"/>
    <w:rsid w:val="00F721C7"/>
    <w:rsid w:val="00F83639"/>
    <w:rsid w:val="00F840C3"/>
    <w:rsid w:val="00F94E47"/>
    <w:rsid w:val="00F956F5"/>
    <w:rsid w:val="00FA0833"/>
    <w:rsid w:val="00FA350D"/>
    <w:rsid w:val="00FC0C21"/>
    <w:rsid w:val="00FC5B50"/>
    <w:rsid w:val="00FC7CBE"/>
    <w:rsid w:val="00FD2869"/>
    <w:rsid w:val="00FD5C89"/>
    <w:rsid w:val="00FD5EE5"/>
    <w:rsid w:val="00FD72A6"/>
    <w:rsid w:val="108219C2"/>
    <w:rsid w:val="303925CD"/>
    <w:rsid w:val="5EA12B9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6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批注框文本 Char"/>
    <w:basedOn w:val="6"/>
    <w:link w:val="2"/>
    <w:semiHidden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132</Words>
  <Characters>753</Characters>
  <Lines>6</Lines>
  <Paragraphs>1</Paragraphs>
  <TotalTime>323</TotalTime>
  <ScaleCrop>false</ScaleCrop>
  <LinksUpToDate>false</LinksUpToDate>
  <CharactersWithSpaces>884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2015-06-17T12:51:00Z</dcterms:created>
  <dc:creator>微软用户</dc:creator>
  <cp:lastModifiedBy>LIL</cp:lastModifiedBy>
  <dcterms:modified xsi:type="dcterms:W3CDTF">2021-01-09T09:08:22Z</dcterms:modified>
  <cp:revision>414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