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bookmarkStart w:id="2" w:name="_GoBack"/>
      <w:bookmarkEnd w:id="2"/>
      <w:r>
        <w:rPr>
          <w:rFonts w:hint="eastAsia" w:ascii="楷体" w:hAnsi="楷体" w:eastAsia="楷体"/>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50"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12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受审核部门：管理层       总经理：沙黑成     管理者代表：</w:t>
            </w:r>
            <w:r>
              <w:rPr>
                <w:rFonts w:hint="eastAsia" w:ascii="宋体" w:hAnsi="宋体" w:eastAsia="宋体" w:cs="宋体"/>
                <w:sz w:val="21"/>
                <w:szCs w:val="21"/>
                <w:lang w:val="en-US" w:eastAsia="zh-CN"/>
              </w:rPr>
              <w:t>沙宏涛</w:t>
            </w:r>
            <w:r>
              <w:rPr>
                <w:rFonts w:hint="eastAsia" w:ascii="宋体" w:hAnsi="宋体" w:eastAsia="宋体" w:cs="宋体"/>
                <w:bCs/>
                <w:sz w:val="21"/>
                <w:szCs w:val="21"/>
              </w:rPr>
              <w:t xml:space="preserve">     陪同：</w:t>
            </w:r>
            <w:r>
              <w:rPr>
                <w:rFonts w:hint="eastAsia" w:ascii="宋体" w:hAnsi="宋体" w:eastAsia="宋体" w:cs="宋体"/>
                <w:sz w:val="21"/>
                <w:szCs w:val="21"/>
              </w:rPr>
              <w:t>吴知虎</w:t>
            </w:r>
          </w:p>
        </w:tc>
        <w:tc>
          <w:tcPr>
            <w:tcW w:w="64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hint="eastAsia" w:ascii="宋体" w:hAnsi="宋体" w:eastAsia="宋体" w:cs="宋体"/>
                <w:sz w:val="21"/>
                <w:szCs w:val="21"/>
              </w:rPr>
            </w:pPr>
          </w:p>
        </w:tc>
        <w:tc>
          <w:tcPr>
            <w:tcW w:w="950" w:type="dxa"/>
            <w:vMerge w:val="continue"/>
            <w:vAlign w:val="center"/>
          </w:tcPr>
          <w:p>
            <w:pPr>
              <w:spacing w:line="360" w:lineRule="auto"/>
              <w:rPr>
                <w:rFonts w:hint="eastAsia" w:ascii="宋体" w:hAnsi="宋体" w:eastAsia="宋体" w:cs="宋体"/>
                <w:sz w:val="21"/>
                <w:szCs w:val="21"/>
              </w:rPr>
            </w:pPr>
          </w:p>
        </w:tc>
        <w:tc>
          <w:tcPr>
            <w:tcW w:w="112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审核时间：20</w:t>
            </w:r>
            <w:r>
              <w:rPr>
                <w:rFonts w:hint="eastAsia" w:ascii="宋体" w:hAnsi="宋体" w:eastAsia="宋体" w:cs="宋体"/>
                <w:sz w:val="21"/>
                <w:szCs w:val="21"/>
                <w:lang w:val="en-US" w:eastAsia="zh-CN"/>
              </w:rPr>
              <w:t>21</w:t>
            </w:r>
            <w:r>
              <w:rPr>
                <w:rFonts w:hint="eastAsia" w:ascii="宋体" w:hAnsi="宋体" w:eastAsia="宋体" w:cs="宋体"/>
                <w:sz w:val="21"/>
                <w:szCs w:val="21"/>
              </w:rPr>
              <w:t>年1月</w:t>
            </w:r>
            <w:r>
              <w:rPr>
                <w:rFonts w:hint="eastAsia" w:ascii="宋体" w:hAnsi="宋体" w:eastAsia="宋体" w:cs="宋体"/>
                <w:sz w:val="21"/>
                <w:szCs w:val="21"/>
                <w:lang w:val="en-US" w:eastAsia="zh-CN"/>
              </w:rPr>
              <w:t>9</w:t>
            </w:r>
            <w:r>
              <w:rPr>
                <w:rFonts w:hint="eastAsia" w:ascii="宋体" w:hAnsi="宋体" w:eastAsia="宋体" w:cs="宋体"/>
                <w:sz w:val="21"/>
                <w:szCs w:val="21"/>
              </w:rPr>
              <w:t>日</w:t>
            </w:r>
          </w:p>
        </w:tc>
        <w:tc>
          <w:tcPr>
            <w:tcW w:w="646"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hint="eastAsia" w:ascii="宋体" w:hAnsi="宋体" w:eastAsia="宋体" w:cs="宋体"/>
                <w:sz w:val="21"/>
                <w:szCs w:val="21"/>
              </w:rPr>
            </w:pPr>
          </w:p>
        </w:tc>
        <w:tc>
          <w:tcPr>
            <w:tcW w:w="950" w:type="dxa"/>
            <w:vMerge w:val="continue"/>
            <w:vAlign w:val="center"/>
          </w:tcPr>
          <w:p>
            <w:pPr>
              <w:spacing w:line="360" w:lineRule="auto"/>
              <w:rPr>
                <w:rFonts w:hint="eastAsia" w:ascii="宋体" w:hAnsi="宋体" w:eastAsia="宋体" w:cs="宋体"/>
                <w:sz w:val="21"/>
                <w:szCs w:val="21"/>
              </w:rPr>
            </w:pPr>
          </w:p>
        </w:tc>
        <w:tc>
          <w:tcPr>
            <w:tcW w:w="11206" w:type="dxa"/>
            <w:vAlign w:val="center"/>
          </w:tcPr>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审核条款：</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4.1理解组织及其所处环境、4.2理解相关方的需求和期望、4.3确定环境管理体系的范围、4.4环境管理体系、5.1领导作用与承诺、5.2环境方针、5.3组织的岗位、职责和权限、6.1应对风险和机遇的措施、6.2环境目标的措施的策划、6.3变更的策划、7.1资源、7.4信息交流、9.3管理评审、10.1改进、10.3持续改进</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国家/地方监督抽查情况；顾客满意、相关方投诉及处理情况；验证企业相关资质证明的有效性，初次审核问题验证；</w:t>
            </w:r>
          </w:p>
        </w:tc>
        <w:tc>
          <w:tcPr>
            <w:tcW w:w="646"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理解组织及其环境</w:t>
            </w:r>
          </w:p>
          <w:p>
            <w:pPr>
              <w:pStyle w:val="13"/>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确定管理体系的范围</w:t>
            </w:r>
          </w:p>
          <w:p>
            <w:pPr>
              <w:pStyle w:val="13"/>
              <w:rPr>
                <w:rFonts w:hint="eastAsia" w:ascii="宋体" w:hAnsi="宋体" w:eastAsia="宋体" w:cs="宋体"/>
                <w:sz w:val="21"/>
                <w:szCs w:val="21"/>
              </w:rPr>
            </w:pPr>
          </w:p>
          <w:p>
            <w:pPr>
              <w:spacing w:line="280" w:lineRule="exact"/>
              <w:rPr>
                <w:rFonts w:hint="eastAsia" w:ascii="宋体" w:hAnsi="宋体" w:eastAsia="宋体" w:cs="宋体"/>
                <w:sz w:val="21"/>
                <w:szCs w:val="21"/>
              </w:rPr>
            </w:pPr>
          </w:p>
        </w:tc>
        <w:tc>
          <w:tcPr>
            <w:tcW w:w="950" w:type="dxa"/>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E 4.1</w:t>
            </w:r>
          </w:p>
          <w:p>
            <w:pPr>
              <w:spacing w:line="280" w:lineRule="exact"/>
              <w:rPr>
                <w:rFonts w:hint="eastAsia" w:ascii="宋体" w:hAnsi="宋体" w:eastAsia="宋体" w:cs="宋体"/>
                <w:sz w:val="21"/>
                <w:szCs w:val="21"/>
              </w:rPr>
            </w:pPr>
            <w:r>
              <w:rPr>
                <w:rFonts w:hint="eastAsia" w:ascii="宋体" w:hAnsi="宋体" w:eastAsia="宋体" w:cs="宋体"/>
                <w:sz w:val="21"/>
                <w:szCs w:val="21"/>
              </w:rPr>
              <w:t>E 4.3</w:t>
            </w: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tc>
        <w:tc>
          <w:tcPr>
            <w:tcW w:w="11206"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面谈人员：最高管理者，总经理：沙黑成；管代：</w:t>
            </w:r>
            <w:r>
              <w:rPr>
                <w:rFonts w:hint="eastAsia" w:ascii="宋体" w:hAnsi="宋体" w:eastAsia="宋体" w:cs="宋体"/>
                <w:sz w:val="21"/>
                <w:szCs w:val="21"/>
                <w:lang w:val="en-US" w:eastAsia="zh-CN"/>
              </w:rPr>
              <w:t>沙宏涛</w:t>
            </w:r>
            <w:r>
              <w:rPr>
                <w:rFonts w:hint="eastAsia" w:ascii="宋体" w:hAnsi="宋体" w:eastAsia="宋体" w:cs="宋体"/>
                <w:sz w:val="21"/>
                <w:szCs w:val="21"/>
              </w:rPr>
              <w:t>，总经理介绍了公司的基本情况：</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公司2005年4月18日注册，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法人代表：沙黑成。</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注册地址：</w:t>
            </w:r>
            <w:bookmarkStart w:id="0" w:name="生产地址"/>
            <w:r>
              <w:rPr>
                <w:rFonts w:hint="eastAsia" w:ascii="宋体" w:hAnsi="宋体" w:eastAsia="宋体" w:cs="宋体"/>
                <w:sz w:val="21"/>
                <w:szCs w:val="21"/>
              </w:rPr>
              <w:t>陕西省宝鸡市高新开发区钓渭镇朱家滩村</w:t>
            </w:r>
            <w:bookmarkEnd w:id="0"/>
            <w:r>
              <w:rPr>
                <w:rFonts w:hint="eastAsia" w:ascii="宋体" w:hAnsi="宋体" w:eastAsia="宋体" w:cs="宋体"/>
                <w:sz w:val="21"/>
                <w:szCs w:val="21"/>
              </w:rPr>
              <w:t>，</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生产经营地址：陕西省宝鸡市高新开发区钓渭镇朱家滩村，</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主要从事汽车变速箱用齿轮、轴、阀体、阀座及总成的锻造生产。</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营业执照符合要求，见附件。注册资金300万元。</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有环评报告、环评备案、环评验收报告，见附件。</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公司管理体系设置了综合管理部、技术质量部、供销部、生产部。</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认证范围为：</w:t>
            </w:r>
            <w:bookmarkStart w:id="1" w:name="审核范围"/>
            <w:r>
              <w:rPr>
                <w:rFonts w:hint="eastAsia" w:ascii="宋体" w:hAnsi="宋体" w:eastAsia="宋体" w:cs="宋体"/>
                <w:sz w:val="21"/>
                <w:szCs w:val="21"/>
              </w:rPr>
              <w:t>汽车变速箱用齿轮、轴、阀体、阀座及总成的锻造生产及相关环境管理活动</w:t>
            </w:r>
            <w:bookmarkEnd w:id="1"/>
            <w:r>
              <w:rPr>
                <w:rFonts w:hint="eastAsia" w:ascii="宋体" w:hAnsi="宋体" w:eastAsia="宋体" w:cs="宋体"/>
                <w:sz w:val="21"/>
                <w:szCs w:val="21"/>
              </w:rPr>
              <w:t>。</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认证主管部门：综合管理部，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公司2019年5月1日开始实施环境管理体系</w:t>
            </w:r>
            <w:r>
              <w:rPr>
                <w:rFonts w:hint="eastAsia" w:ascii="宋体" w:hAnsi="宋体" w:cs="宋体"/>
                <w:sz w:val="21"/>
                <w:szCs w:val="21"/>
                <w:lang w:eastAsia="zh-CN"/>
              </w:rPr>
              <w:t>。</w:t>
            </w:r>
            <w:r>
              <w:rPr>
                <w:rFonts w:hint="eastAsia" w:ascii="宋体" w:hAnsi="宋体" w:eastAsia="宋体" w:cs="宋体"/>
                <w:sz w:val="21"/>
                <w:szCs w:val="21"/>
              </w:rPr>
              <w:t>公司有厂房、办公室，公司按照顾客要求组织生产，具备稳定的管理和操作人员，办公设施和环保设施配备齐全, 基本能够满足目前产品生产活动的需要。产品质量稳定可靠，交付准确及时，良好的信誉已使本公司得到了行业内广大客户的认可。</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根据企业目标和战略方向，通过各部门收集信息、识别、分析和评价，公司管理会议讨论研究，明确了与公司目标和战略方向相关的各种外部和内部因素，提供了《内外部环境因素识别和评审表》。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确定对公司有利的内外部环境因素有：公司全体员工的质量意识比较强，产品质量在同行业中比较领先。公司的设备和生产的技术水平比较先进。</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对公司不利的内、外部因素有：市场竞争非常激烈，产品销售利润不断降低。</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理解相关方的需求和期望</w:t>
            </w:r>
          </w:p>
          <w:p>
            <w:pPr>
              <w:spacing w:line="280" w:lineRule="exact"/>
              <w:rPr>
                <w:rFonts w:hint="eastAsia" w:ascii="宋体" w:hAnsi="宋体" w:eastAsia="宋体" w:cs="宋体"/>
                <w:sz w:val="21"/>
                <w:szCs w:val="21"/>
              </w:rPr>
            </w:pPr>
          </w:p>
        </w:tc>
        <w:tc>
          <w:tcPr>
            <w:tcW w:w="950" w:type="dxa"/>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E4.2</w:t>
            </w:r>
          </w:p>
          <w:p>
            <w:pPr>
              <w:pStyle w:val="13"/>
              <w:rPr>
                <w:rFonts w:hint="eastAsia" w:ascii="宋体" w:hAnsi="宋体" w:eastAsia="宋体" w:cs="宋体"/>
                <w:sz w:val="21"/>
                <w:szCs w:val="21"/>
              </w:rPr>
            </w:pPr>
          </w:p>
        </w:tc>
        <w:tc>
          <w:tcPr>
            <w:tcW w:w="11206"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每年通过访谈、网站向社会告知企业联系方式和经营情况，持续与相关方沟通，了解相关方要求，以及这些需求和期望中哪些将成为其合规性义务，并对他们的要求进行评审。</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提供了相关方需求和期望识别表，公司确定的相关方有员工、股东、银行、市场监管局、环保局、安监局、供应商、客户等。</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理解员工诉求的形式为走访、调查、电话沟通等方式了解相关方的需求；</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员工关注的主要问题有工作环境、身体状况、劳保护具、工资、待遇、福利等，供应商关注的主要问题是回款时间等。</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对相关方的要求的监视和评审的方法多样，通过QQ和微信等现代通讯手段是常用的便捷而又高效的主要方法。</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目前顾客的主要需求期望是：提供使用方便，满足环保要求，质量稳定的产品。公司对这些相关方及其要求的相关信息进行监视和评审，以便于理解和持续满足相关方的需求和期望。</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管理体系及其过程</w:t>
            </w:r>
          </w:p>
          <w:p>
            <w:pPr>
              <w:spacing w:line="280" w:lineRule="exact"/>
              <w:rPr>
                <w:rFonts w:hint="eastAsia" w:ascii="宋体" w:hAnsi="宋体" w:eastAsia="宋体" w:cs="宋体"/>
                <w:sz w:val="21"/>
                <w:szCs w:val="21"/>
              </w:rPr>
            </w:pPr>
          </w:p>
        </w:tc>
        <w:tc>
          <w:tcPr>
            <w:tcW w:w="950" w:type="dxa"/>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4.4</w:t>
            </w:r>
          </w:p>
          <w:p>
            <w:pPr>
              <w:spacing w:line="280" w:lineRule="exact"/>
              <w:rPr>
                <w:rFonts w:hint="eastAsia" w:ascii="宋体" w:hAnsi="宋体" w:eastAsia="宋体" w:cs="宋体"/>
                <w:sz w:val="21"/>
                <w:szCs w:val="21"/>
              </w:rPr>
            </w:pPr>
          </w:p>
        </w:tc>
        <w:tc>
          <w:tcPr>
            <w:tcW w:w="11206"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公司文件适宜，符合公司规模、人员能力、过程及其相互作用的复杂程度。基本符合标准要求。</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公司确保按照标准的要求，建立、实施、保持和持续改进环境管理体系，包括所需过程及其相互作用。公司确定环境管理体系所需的过程及其在整个组织中的应用。</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领导作用与承诺</w:t>
            </w:r>
          </w:p>
          <w:p>
            <w:pPr>
              <w:spacing w:line="360" w:lineRule="auto"/>
              <w:jc w:val="left"/>
              <w:rPr>
                <w:rFonts w:hint="eastAsia" w:ascii="宋体" w:hAnsi="宋体" w:eastAsia="宋体" w:cs="宋体"/>
                <w:sz w:val="21"/>
                <w:szCs w:val="21"/>
              </w:rPr>
            </w:pPr>
          </w:p>
        </w:tc>
        <w:tc>
          <w:tcPr>
            <w:tcW w:w="950" w:type="dxa"/>
            <w:vAlign w:val="center"/>
          </w:tcPr>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5.1</w:t>
            </w:r>
          </w:p>
        </w:tc>
        <w:tc>
          <w:tcPr>
            <w:tcW w:w="11206"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总经理：沙黑成， 管理者代表：</w:t>
            </w:r>
            <w:r>
              <w:rPr>
                <w:rFonts w:hint="eastAsia" w:ascii="宋体" w:hAnsi="宋体" w:eastAsia="宋体" w:cs="宋体"/>
                <w:sz w:val="21"/>
                <w:szCs w:val="21"/>
                <w:lang w:val="en-US" w:eastAsia="zh-CN"/>
              </w:rPr>
              <w:t>沙宏涛</w:t>
            </w:r>
            <w:r>
              <w:rPr>
                <w:rFonts w:hint="eastAsia" w:ascii="宋体" w:hAnsi="宋体" w:eastAsia="宋体" w:cs="宋体"/>
                <w:sz w:val="21"/>
                <w:szCs w:val="21"/>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通过与总经理交流：总经理从以下活动方式对公司建立、实施环境管理体系并持续改进其有效性所做出的承诺提供证据：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rPr>
                <w:rFonts w:hint="eastAsia" w:ascii="宋体" w:hAnsi="宋体" w:eastAsia="宋体" w:cs="宋体"/>
                <w:sz w:val="21"/>
                <w:szCs w:val="21"/>
              </w:rPr>
            </w:pPr>
            <w:r>
              <w:rPr>
                <w:rFonts w:hint="eastAsia" w:ascii="宋体" w:hAnsi="宋体" w:eastAsia="宋体" w:cs="宋体"/>
                <w:sz w:val="21"/>
                <w:szCs w:val="21"/>
              </w:rPr>
              <w:t>2、制定和发布公司管理方针；</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3、确保管理目标的制定、分解落实到相关职能和部门，并激励员工为实现目标而努力；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4、定期进行管理评审，以评价管理方针、管理目标的适宜性及实现情况，同时评价管理体系的适宜性、充分性和有效性。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5、为确保建立、运行和持续改进管理体系所需的一切资源得到满足，公司提供了信息、技术、人力、设备、环境和资金等必要资源。</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方针</w:t>
            </w:r>
          </w:p>
        </w:tc>
        <w:tc>
          <w:tcPr>
            <w:tcW w:w="95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5.2</w:t>
            </w:r>
          </w:p>
        </w:tc>
        <w:tc>
          <w:tcPr>
            <w:tcW w:w="11206"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环境方针：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节约资源、保护环境、遵纪守法、持续改进。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上述环境方针体现了公司对环境污染和可持续发展方面的承诺。也是公司全体员工的环境行为准则。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管理方针在手册上进行了确定和发布，并通过文件发放的形式发放至各部门、给员工进行了宣传培训。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手册对方针的内涵进行了阐述，为目标制定及评审提供了框架，每年至少一次,在管理评审会议上讨论其适宜性和改进机会。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企业的方针的内容和管理基本符合标准和法规要求。</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190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p>
            <w:pPr>
              <w:spacing w:line="360" w:lineRule="auto"/>
              <w:jc w:val="center"/>
              <w:rPr>
                <w:rFonts w:hint="eastAsia" w:ascii="宋体" w:hAnsi="宋体" w:eastAsia="宋体" w:cs="宋体"/>
                <w:sz w:val="21"/>
                <w:szCs w:val="21"/>
              </w:rPr>
            </w:pPr>
          </w:p>
        </w:tc>
        <w:tc>
          <w:tcPr>
            <w:tcW w:w="95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5.3</w:t>
            </w:r>
          </w:p>
        </w:tc>
        <w:tc>
          <w:tcPr>
            <w:tcW w:w="11206"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了公司机构并规定了各岗位人员职责、权限和相互关系，并在公司内对各级员工进行了必要的传达。对从事与生产销售有关的管理、执行和验证人员规定其职责、权限及其相互关系，以实现公司管理方针和管理目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建立、实施和保持公司管理体系所需的过程，公司决定任命吴知虎为管理体系的管理者代表。其职责和权限规定如下：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确保本公司管理体系所需的过程得到建立、实施和保持，代表沙黑成行使职权；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4"/>
              <w:rPr>
                <w:rFonts w:hint="eastAsia" w:ascii="宋体" w:hAnsi="宋体" w:eastAsia="宋体" w:cs="宋体"/>
                <w:sz w:val="21"/>
                <w:szCs w:val="21"/>
              </w:rPr>
            </w:pPr>
            <w:r>
              <w:rPr>
                <w:rFonts w:hint="eastAsia" w:ascii="宋体" w:hAnsi="宋体" w:eastAsia="宋体" w:cs="宋体"/>
                <w:sz w:val="21"/>
                <w:szCs w:val="21"/>
              </w:rPr>
              <w:t>询问管代</w:t>
            </w:r>
            <w:r>
              <w:rPr>
                <w:rFonts w:hint="eastAsia" w:ascii="宋体" w:hAnsi="宋体" w:eastAsia="宋体" w:cs="宋体"/>
                <w:sz w:val="21"/>
                <w:szCs w:val="21"/>
                <w:lang w:val="en-US" w:eastAsia="zh-CN"/>
              </w:rPr>
              <w:t>沙宏涛</w:t>
            </w:r>
            <w:r>
              <w:rPr>
                <w:rFonts w:hint="eastAsia" w:ascii="宋体" w:hAnsi="宋体" w:eastAsia="宋体" w:cs="宋体"/>
                <w:sz w:val="21"/>
                <w:szCs w:val="21"/>
              </w:rPr>
              <w:t>，职责回答正确。</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应对风险和机会的措施</w:t>
            </w:r>
          </w:p>
        </w:tc>
        <w:tc>
          <w:tcPr>
            <w:tcW w:w="950" w:type="dxa"/>
            <w:vAlign w:val="center"/>
          </w:tcPr>
          <w:p>
            <w:pPr>
              <w:pStyle w:val="4"/>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6.1.1</w:t>
            </w:r>
          </w:p>
        </w:tc>
        <w:tc>
          <w:tcPr>
            <w:tcW w:w="11206" w:type="dxa"/>
            <w:vAlign w:val="center"/>
          </w:tcPr>
          <w:p>
            <w:pPr>
              <w:pStyle w:val="4"/>
              <w:rPr>
                <w:rFonts w:hint="eastAsia" w:ascii="宋体" w:hAnsi="宋体" w:eastAsia="宋体" w:cs="宋体"/>
                <w:sz w:val="21"/>
                <w:szCs w:val="21"/>
              </w:rPr>
            </w:pPr>
            <w:r>
              <w:rPr>
                <w:rFonts w:hint="eastAsia" w:ascii="宋体" w:hAnsi="宋体" w:eastAsia="宋体" w:cs="宋体"/>
                <w:sz w:val="21"/>
                <w:szCs w:val="21"/>
              </w:rPr>
              <w:t>提供“风险和机遇排查评估与控制表”，项目包括风险因素、风险分析、预期风险评估(未发生)、风险管控措施和预防措施、风险实际发生后评估及控制程度、存在的机遇、风险审核等。</w:t>
            </w:r>
          </w:p>
          <w:p>
            <w:pPr>
              <w:pStyle w:val="4"/>
              <w:rPr>
                <w:rFonts w:hint="eastAsia" w:ascii="宋体" w:hAnsi="宋体" w:eastAsia="宋体" w:cs="宋体"/>
                <w:sz w:val="21"/>
                <w:szCs w:val="21"/>
              </w:rPr>
            </w:pPr>
            <w:r>
              <w:rPr>
                <w:rFonts w:hint="eastAsia" w:ascii="宋体" w:hAnsi="宋体" w:eastAsia="宋体" w:cs="宋体"/>
                <w:sz w:val="21"/>
                <w:szCs w:val="21"/>
              </w:rPr>
              <w:t>风险、机遇：从重要环境因素运行风险、合规义务风险、内外部相关风险等方面进行分析评估。从严重程度、发生概率、可探测性等确定风险和机遇。应对措施：与风险、机遇相适应。</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907"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目标和措施策划</w:t>
            </w:r>
          </w:p>
        </w:tc>
        <w:tc>
          <w:tcPr>
            <w:tcW w:w="950"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6.2</w:t>
            </w:r>
          </w:p>
          <w:p>
            <w:pPr>
              <w:spacing w:line="360" w:lineRule="auto"/>
              <w:jc w:val="left"/>
              <w:rPr>
                <w:rFonts w:hint="eastAsia" w:ascii="宋体" w:hAnsi="宋体" w:eastAsia="宋体" w:cs="宋体"/>
                <w:sz w:val="21"/>
                <w:szCs w:val="21"/>
              </w:rPr>
            </w:pPr>
          </w:p>
        </w:tc>
        <w:tc>
          <w:tcPr>
            <w:tcW w:w="11206" w:type="dxa"/>
            <w:vAlign w:val="center"/>
          </w:tcPr>
          <w:p>
            <w:pPr>
              <w:pStyle w:val="19"/>
              <w:numPr>
                <w:ilvl w:val="0"/>
                <w:numId w:val="0"/>
              </w:numPr>
              <w:tabs>
                <w:tab w:val="clear" w:pos="840"/>
              </w:tabs>
              <w:rPr>
                <w:rFonts w:hint="eastAsia" w:ascii="宋体" w:hAnsi="宋体" w:eastAsia="宋体" w:cs="宋体"/>
                <w:kern w:val="2"/>
                <w:sz w:val="21"/>
                <w:szCs w:val="21"/>
              </w:rPr>
            </w:pPr>
            <w:r>
              <w:rPr>
                <w:rFonts w:hint="eastAsia" w:ascii="宋体" w:hAnsi="宋体" w:eastAsia="宋体" w:cs="宋体"/>
                <w:sz w:val="21"/>
                <w:szCs w:val="21"/>
              </w:rPr>
              <w:t>查《环境管理手册》，制定了公司目标，并在管理体系所</w:t>
            </w:r>
            <w:r>
              <w:rPr>
                <w:rFonts w:hint="eastAsia" w:ascii="宋体" w:hAnsi="宋体" w:eastAsia="宋体" w:cs="宋体"/>
                <w:kern w:val="2"/>
                <w:sz w:val="21"/>
                <w:szCs w:val="21"/>
              </w:rPr>
              <w:t>需的相关职能、管理目标。</w:t>
            </w:r>
          </w:p>
          <w:p>
            <w:pPr>
              <w:spacing w:line="360" w:lineRule="auto"/>
              <w:rPr>
                <w:rFonts w:hint="eastAsia" w:ascii="宋体" w:hAnsi="宋体" w:eastAsia="宋体" w:cs="宋体"/>
                <w:sz w:val="21"/>
                <w:szCs w:val="21"/>
              </w:rPr>
            </w:pPr>
            <w:r>
              <w:rPr>
                <w:rFonts w:hint="eastAsia" w:ascii="宋体" w:hAnsi="宋体" w:eastAsia="宋体" w:cs="宋体"/>
                <w:sz w:val="21"/>
                <w:szCs w:val="21"/>
              </w:rPr>
              <w:t>环境目标：a)无重大环境污染事故；b)火灾事故为零；c)环境影响投诉次数为零；d）固体废弃物的分类处理率为100%。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组织对公司环境目标、指标予以分解，并在相关职能层次部门建立分目标，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查见《目标指标及措施计划 》对环境目标/指标的实现制定了措施计划，如固体废弃物有效处理率为100%，制定的措施：制定固体废弃物分类标准、购置固体废弃物分类存放容器并标识、根据分类交由有资质的回收方回收处理。</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hint="eastAsia" w:ascii="宋体" w:hAnsi="宋体" w:eastAsia="宋体" w:cs="宋体"/>
                <w:sz w:val="21"/>
                <w:szCs w:val="21"/>
              </w:rPr>
            </w:pPr>
            <w:r>
              <w:rPr>
                <w:rFonts w:hint="eastAsia" w:ascii="宋体" w:hAnsi="宋体" w:eastAsia="宋体" w:cs="宋体"/>
                <w:sz w:val="21"/>
                <w:szCs w:val="21"/>
              </w:rPr>
              <w:t>资源</w:t>
            </w:r>
          </w:p>
        </w:tc>
        <w:tc>
          <w:tcPr>
            <w:tcW w:w="950" w:type="dxa"/>
            <w:vAlign w:val="center"/>
          </w:tcPr>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7.1</w:t>
            </w:r>
          </w:p>
        </w:tc>
        <w:tc>
          <w:tcPr>
            <w:tcW w:w="11206"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场所、生产设备、环保设备、办公场所、办公设备等基础设施以及必要的工作环境，配备较为充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总经理沙黑成主持的今年的管理评审，对方针、目标的适宜性进行了评审，对所需资源进行了评审，结论现有资源满足要求。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总经理沙黑成说，为确保公司环保、安全资金得得以保障，公司每年制定专门预算，及时提供有关资金，确保本公司各项资金及时到位，保证环保、安全活动得到实施，达到预防污染、安全第一的活动目的。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现场观察及与领导沟通了解到，公司为确保管理体系的有效运行和持续改进，确保满足顾客要求，增强顾客满意，确定并提供了必要的资源，目前车间、仓库和办公室等资源配备基本能满足要求，机构设置合理。经过管理体系运行证明，现有资源可满足体系和产品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公司目前的基础设施，能够满足当前环境管理体系的要求。公司将依据经营发展的需要，会不断补充与增加。</w:t>
            </w:r>
          </w:p>
        </w:tc>
        <w:tc>
          <w:tcPr>
            <w:tcW w:w="64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hint="eastAsia" w:ascii="宋体" w:hAnsi="宋体" w:eastAsia="宋体" w:cs="宋体"/>
                <w:sz w:val="21"/>
                <w:szCs w:val="21"/>
              </w:rPr>
            </w:pPr>
          </w:p>
          <w:p>
            <w:pPr>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信息交流</w:t>
            </w:r>
          </w:p>
        </w:tc>
        <w:tc>
          <w:tcPr>
            <w:tcW w:w="950" w:type="dxa"/>
            <w:vAlign w:val="center"/>
          </w:tcPr>
          <w:p>
            <w:pPr>
              <w:rPr>
                <w:rFonts w:hint="eastAsia" w:ascii="宋体" w:hAnsi="宋体" w:eastAsia="宋体" w:cs="宋体"/>
                <w:sz w:val="21"/>
                <w:szCs w:val="21"/>
              </w:rPr>
            </w:pPr>
          </w:p>
          <w:p>
            <w:pPr>
              <w:rPr>
                <w:rFonts w:hint="eastAsia" w:ascii="宋体" w:hAnsi="宋体" w:eastAsia="宋体" w:cs="宋体"/>
                <w:sz w:val="21"/>
                <w:szCs w:val="21"/>
              </w:rPr>
            </w:pPr>
          </w:p>
          <w:p>
            <w:pPr>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7.4  </w:t>
            </w:r>
          </w:p>
          <w:p>
            <w:pPr>
              <w:rPr>
                <w:rFonts w:hint="eastAsia" w:ascii="宋体" w:hAnsi="宋体" w:eastAsia="宋体" w:cs="宋体"/>
                <w:sz w:val="21"/>
                <w:szCs w:val="21"/>
              </w:rPr>
            </w:pPr>
            <w:r>
              <w:rPr>
                <w:rFonts w:hint="eastAsia" w:ascii="宋体" w:hAnsi="宋体" w:eastAsia="宋体" w:cs="宋体"/>
                <w:sz w:val="21"/>
                <w:szCs w:val="21"/>
              </w:rPr>
              <w:t xml:space="preserve"> </w:t>
            </w:r>
          </w:p>
        </w:tc>
        <w:tc>
          <w:tcPr>
            <w:tcW w:w="11206"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总经理沙黑成定期主持经营办公例会，分析公司的发展、市场情况和体系运行是否有效，管理目标完成情况，满足顾客要求和法规程度，改进建议等内部管理存在问题等。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总经理沙黑成为协商、参与提供了时间、机会、培训、资源等保障，明确了沟通、协商、参与渠道，消除了障碍和壁垒。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现场查见会议记录、培训记录、文件签收等组织内部培训方式相关记录。</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综合管理部</w:t>
            </w:r>
            <w:r>
              <w:rPr>
                <w:rFonts w:hint="eastAsia" w:ascii="宋体" w:hAnsi="宋体" w:eastAsia="宋体" w:cs="宋体"/>
                <w:sz w:val="21"/>
                <w:szCs w:val="21"/>
              </w:rPr>
              <w:t>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经交流：目前与环保、劳动、消防、安监部门的信息交流主要是参加会议、接收来文、电话、邮件等，均按要求予以传达和落实，沟通情况较好。</w:t>
            </w:r>
          </w:p>
        </w:tc>
        <w:tc>
          <w:tcPr>
            <w:tcW w:w="646" w:type="dxa"/>
            <w:vAlign w:val="center"/>
          </w:tcPr>
          <w:p>
            <w:pPr>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color w:val="000000" w:themeColor="text1"/>
                <w:sz w:val="21"/>
                <w:szCs w:val="21"/>
              </w:rPr>
            </w:pPr>
          </w:p>
          <w:p>
            <w:pPr>
              <w:spacing w:line="360" w:lineRule="auto"/>
              <w:ind w:firstLine="210" w:firstLineChars="1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管理评审</w:t>
            </w:r>
          </w:p>
          <w:p>
            <w:pPr>
              <w:spacing w:line="360" w:lineRule="auto"/>
              <w:rPr>
                <w:rFonts w:hint="eastAsia" w:ascii="宋体" w:hAnsi="宋体" w:eastAsia="宋体" w:cs="宋体"/>
                <w:color w:val="000000" w:themeColor="text1"/>
                <w:sz w:val="21"/>
                <w:szCs w:val="21"/>
              </w:rPr>
            </w:pPr>
          </w:p>
        </w:tc>
        <w:tc>
          <w:tcPr>
            <w:tcW w:w="950"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color w:val="000000" w:themeColor="text1"/>
                <w:sz w:val="21"/>
                <w:szCs w:val="21"/>
              </w:rPr>
            </w:pPr>
            <w:r>
              <w:rPr>
                <w:rFonts w:hint="eastAsia" w:ascii="宋体" w:hAnsi="宋体" w:eastAsia="宋体" w:cs="宋体"/>
                <w:sz w:val="21"/>
                <w:szCs w:val="21"/>
              </w:rPr>
              <w:t>E：</w:t>
            </w:r>
            <w:r>
              <w:rPr>
                <w:rFonts w:hint="eastAsia" w:ascii="宋体" w:hAnsi="宋体" w:eastAsia="宋体" w:cs="宋体"/>
                <w:color w:val="000000" w:themeColor="text1"/>
                <w:sz w:val="21"/>
                <w:szCs w:val="21"/>
              </w:rPr>
              <w:t>9.3</w:t>
            </w:r>
          </w:p>
          <w:p>
            <w:pPr>
              <w:spacing w:line="360" w:lineRule="auto"/>
              <w:rPr>
                <w:rFonts w:hint="eastAsia" w:ascii="宋体" w:hAnsi="宋体" w:eastAsia="宋体" w:cs="宋体"/>
                <w:color w:val="000000" w:themeColor="text1"/>
                <w:sz w:val="21"/>
                <w:szCs w:val="21"/>
              </w:rPr>
            </w:pPr>
          </w:p>
          <w:p>
            <w:pPr>
              <w:spacing w:line="360" w:lineRule="auto"/>
              <w:rPr>
                <w:rFonts w:hint="eastAsia" w:ascii="宋体" w:hAnsi="宋体" w:eastAsia="宋体" w:cs="宋体"/>
                <w:sz w:val="21"/>
                <w:szCs w:val="21"/>
              </w:rPr>
            </w:pPr>
          </w:p>
        </w:tc>
        <w:tc>
          <w:tcPr>
            <w:tcW w:w="112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查策划：在《管理评审程序》中明确了管理评审的实施要求。策划每年进行一次管理评审，间隔不超过12个月。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查阅公司管理评审资料，提供：管理评审计划，评审时间：计划 20</w:t>
            </w:r>
            <w:r>
              <w:rPr>
                <w:rFonts w:hint="eastAsia" w:ascii="宋体" w:hAnsi="宋体" w:cs="宋体"/>
                <w:sz w:val="21"/>
                <w:szCs w:val="21"/>
                <w:lang w:val="en-US" w:eastAsia="zh-CN"/>
              </w:rPr>
              <w:t>20</w:t>
            </w:r>
            <w:r>
              <w:rPr>
                <w:rFonts w:hint="eastAsia" w:ascii="宋体" w:hAnsi="宋体" w:eastAsia="宋体" w:cs="宋体"/>
                <w:sz w:val="21"/>
                <w:szCs w:val="21"/>
              </w:rPr>
              <w:t>年9月</w:t>
            </w:r>
            <w:r>
              <w:rPr>
                <w:rFonts w:hint="eastAsia" w:ascii="宋体" w:hAnsi="宋体" w:cs="宋体"/>
                <w:sz w:val="21"/>
                <w:szCs w:val="21"/>
                <w:lang w:val="en-US" w:eastAsia="zh-CN"/>
              </w:rPr>
              <w:t>5</w:t>
            </w:r>
            <w:r>
              <w:rPr>
                <w:rFonts w:hint="eastAsia" w:ascii="宋体" w:hAnsi="宋体" w:eastAsia="宋体" w:cs="宋体"/>
                <w:sz w:val="21"/>
                <w:szCs w:val="21"/>
              </w:rPr>
              <w:t>日进行，评审方式：会议评审，查《管理评审计划》，批准：沙黑成。参加人员：总经理、管代及各部门负责人，计划中明确了评审内容和资料准备要求。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查管理评审会议记录，20</w:t>
            </w:r>
            <w:r>
              <w:rPr>
                <w:rFonts w:hint="eastAsia" w:ascii="宋体" w:hAnsi="宋体" w:cs="宋体"/>
                <w:sz w:val="21"/>
                <w:szCs w:val="21"/>
                <w:lang w:val="en-US" w:eastAsia="zh-CN"/>
              </w:rPr>
              <w:t>20</w:t>
            </w:r>
            <w:r>
              <w:rPr>
                <w:rFonts w:hint="eastAsia" w:ascii="宋体" w:hAnsi="宋体" w:eastAsia="宋体" w:cs="宋体"/>
                <w:sz w:val="21"/>
                <w:szCs w:val="21"/>
              </w:rPr>
              <w:t>年9月</w:t>
            </w:r>
            <w:r>
              <w:rPr>
                <w:rFonts w:hint="eastAsia" w:ascii="宋体" w:hAnsi="宋体" w:cs="宋体"/>
                <w:sz w:val="21"/>
                <w:szCs w:val="21"/>
                <w:lang w:val="en-US" w:eastAsia="zh-CN"/>
              </w:rPr>
              <w:t>5</w:t>
            </w:r>
            <w:r>
              <w:rPr>
                <w:rFonts w:hint="eastAsia" w:ascii="宋体" w:hAnsi="宋体" w:eastAsia="宋体" w:cs="宋体"/>
                <w:sz w:val="21"/>
                <w:szCs w:val="21"/>
              </w:rPr>
              <w:t xml:space="preserve">日在公司会议室，由总经理沙黑成主持人， 参加人员：管代、各部门负责人。  </w:t>
            </w:r>
          </w:p>
          <w:p>
            <w:pPr>
              <w:spacing w:line="360" w:lineRule="auto"/>
              <w:rPr>
                <w:rFonts w:hint="eastAsia" w:ascii="宋体" w:hAnsi="宋体" w:eastAsia="宋体" w:cs="宋体"/>
                <w:sz w:val="21"/>
                <w:szCs w:val="21"/>
              </w:rPr>
            </w:pPr>
            <w:r>
              <w:rPr>
                <w:rFonts w:hint="eastAsia" w:ascii="宋体" w:hAnsi="宋体" w:eastAsia="宋体" w:cs="宋体"/>
                <w:sz w:val="21"/>
                <w:szCs w:val="21"/>
              </w:rPr>
              <w:t>管理评审内容包括：内审结果；环境方针、目标的可行性及实现情况等。</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管理评审会议结论：</w:t>
            </w:r>
          </w:p>
          <w:p>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sz w:val="21"/>
                <w:szCs w:val="21"/>
              </w:rPr>
              <w:t>公司的环境管理体系是适宜、充分和有效的。</w:t>
            </w:r>
          </w:p>
        </w:tc>
        <w:tc>
          <w:tcPr>
            <w:tcW w:w="646" w:type="dxa"/>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改进</w:t>
            </w:r>
          </w:p>
          <w:p>
            <w:pPr>
              <w:rPr>
                <w:rFonts w:hint="eastAsia" w:ascii="宋体" w:hAnsi="宋体" w:eastAsia="宋体" w:cs="宋体"/>
                <w:color w:val="000000" w:themeColor="text1"/>
                <w:sz w:val="21"/>
                <w:szCs w:val="21"/>
              </w:rPr>
            </w:pPr>
          </w:p>
        </w:tc>
        <w:tc>
          <w:tcPr>
            <w:tcW w:w="950" w:type="dxa"/>
            <w:vAlign w:val="center"/>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10.1、10.3</w:t>
            </w:r>
          </w:p>
          <w:p>
            <w:pPr>
              <w:rPr>
                <w:rFonts w:hint="eastAsia" w:ascii="宋体" w:hAnsi="宋体" w:eastAsia="宋体" w:cs="宋体"/>
                <w:color w:val="000000" w:themeColor="text1"/>
                <w:sz w:val="21"/>
                <w:szCs w:val="21"/>
              </w:rPr>
            </w:pPr>
          </w:p>
        </w:tc>
        <w:tc>
          <w:tcPr>
            <w:tcW w:w="11206"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自体系运行以来，全员的质量意识、服务意识、环保意识有较大的提高，市场经营规模有了较大发展，持续改进了管理体系的有效性。</w:t>
            </w:r>
          </w:p>
        </w:tc>
        <w:tc>
          <w:tcPr>
            <w:tcW w:w="646" w:type="dxa"/>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国家/地方抽查、顾客满意、相关方投诉处理</w:t>
            </w:r>
          </w:p>
        </w:tc>
        <w:tc>
          <w:tcPr>
            <w:tcW w:w="950" w:type="dxa"/>
          </w:tcPr>
          <w:p>
            <w:pPr>
              <w:spacing w:line="360" w:lineRule="auto"/>
              <w:ind w:firstLine="420" w:firstLineChars="200"/>
              <w:rPr>
                <w:rFonts w:hint="eastAsia" w:ascii="宋体" w:hAnsi="宋体" w:eastAsia="宋体" w:cs="宋体"/>
                <w:sz w:val="21"/>
                <w:szCs w:val="21"/>
              </w:rPr>
            </w:pPr>
          </w:p>
        </w:tc>
        <w:tc>
          <w:tcPr>
            <w:tcW w:w="1120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自公司成立以来，未受到上级主管部门有关环境问题的行政处罚。未发生相关方的投诉。</w:t>
            </w:r>
          </w:p>
          <w:p>
            <w:pPr>
              <w:spacing w:line="360" w:lineRule="auto"/>
              <w:rPr>
                <w:rFonts w:hint="eastAsia" w:ascii="宋体" w:hAnsi="宋体" w:eastAsia="宋体" w:cs="宋体"/>
                <w:sz w:val="21"/>
                <w:szCs w:val="21"/>
              </w:rPr>
            </w:pPr>
            <w:r>
              <w:rPr>
                <w:rFonts w:hint="eastAsia" w:ascii="宋体" w:hAnsi="宋体" w:eastAsia="宋体" w:cs="宋体"/>
                <w:sz w:val="21"/>
                <w:szCs w:val="21"/>
              </w:rPr>
              <w:t>暂没有国家/地方抽查情况。</w:t>
            </w:r>
          </w:p>
          <w:p>
            <w:pPr>
              <w:spacing w:line="360" w:lineRule="auto"/>
              <w:rPr>
                <w:rFonts w:hint="eastAsia" w:ascii="宋体" w:hAnsi="宋体" w:eastAsia="宋体" w:cs="宋体"/>
                <w:sz w:val="21"/>
                <w:szCs w:val="21"/>
              </w:rPr>
            </w:pPr>
            <w:r>
              <w:rPr>
                <w:rFonts w:hint="eastAsia" w:ascii="宋体" w:hAnsi="宋体" w:eastAsia="宋体" w:cs="宋体"/>
                <w:sz w:val="21"/>
                <w:szCs w:val="21"/>
              </w:rPr>
              <w:t>目前没有相关行政主管部门的检查处罚，在审核现场也未发现抽查、相关方投诉等情况。</w:t>
            </w:r>
          </w:p>
        </w:tc>
        <w:tc>
          <w:tcPr>
            <w:tcW w:w="646" w:type="dxa"/>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07"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验证资质</w:t>
            </w:r>
          </w:p>
        </w:tc>
        <w:tc>
          <w:tcPr>
            <w:tcW w:w="950" w:type="dxa"/>
          </w:tcPr>
          <w:p>
            <w:pPr>
              <w:spacing w:line="360" w:lineRule="auto"/>
              <w:ind w:firstLine="420" w:firstLineChars="200"/>
              <w:rPr>
                <w:rFonts w:hint="eastAsia" w:ascii="宋体" w:hAnsi="宋体" w:eastAsia="宋体" w:cs="宋体"/>
                <w:sz w:val="21"/>
                <w:szCs w:val="21"/>
              </w:rPr>
            </w:pPr>
          </w:p>
        </w:tc>
        <w:tc>
          <w:tcPr>
            <w:tcW w:w="1120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提供了组织营业执照均为有效。</w:t>
            </w:r>
          </w:p>
        </w:tc>
        <w:tc>
          <w:tcPr>
            <w:tcW w:w="646" w:type="dxa"/>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07" w:type="dxa"/>
          </w:tcPr>
          <w:p>
            <w:pP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初次审核</w:t>
            </w:r>
            <w:r>
              <w:rPr>
                <w:rFonts w:hint="eastAsia" w:ascii="宋体" w:hAnsi="宋体" w:eastAsia="宋体" w:cs="宋体"/>
                <w:color w:val="000000" w:themeColor="text1"/>
                <w:sz w:val="21"/>
                <w:szCs w:val="21"/>
              </w:rPr>
              <w:t>问题验证</w:t>
            </w:r>
          </w:p>
        </w:tc>
        <w:tc>
          <w:tcPr>
            <w:tcW w:w="950" w:type="dxa"/>
          </w:tcPr>
          <w:p>
            <w:pPr>
              <w:rPr>
                <w:rFonts w:hint="eastAsia" w:ascii="宋体" w:hAnsi="宋体" w:eastAsia="宋体" w:cs="宋体"/>
                <w:color w:val="000000" w:themeColor="text1"/>
                <w:sz w:val="21"/>
                <w:szCs w:val="21"/>
              </w:rPr>
            </w:pPr>
          </w:p>
        </w:tc>
        <w:tc>
          <w:tcPr>
            <w:tcW w:w="11206" w:type="dxa"/>
          </w:tcPr>
          <w:p>
            <w:pP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初次</w:t>
            </w:r>
            <w:r>
              <w:rPr>
                <w:rFonts w:hint="eastAsia" w:ascii="宋体" w:hAnsi="宋体" w:eastAsia="宋体" w:cs="宋体"/>
                <w:color w:val="000000" w:themeColor="text1"/>
                <w:sz w:val="21"/>
                <w:szCs w:val="21"/>
              </w:rPr>
              <w:t>审核时发现的问题，经现场验证已关闭，整改措施有效。</w:t>
            </w:r>
          </w:p>
        </w:tc>
        <w:tc>
          <w:tcPr>
            <w:tcW w:w="646" w:type="dxa"/>
          </w:tcPr>
          <w:p>
            <w:pPr>
              <w:spacing w:line="360" w:lineRule="auto"/>
              <w:rPr>
                <w:rFonts w:hint="eastAsia" w:ascii="宋体" w:hAnsi="宋体" w:eastAsia="宋体" w:cs="宋体"/>
                <w:sz w:val="21"/>
                <w:szCs w:val="21"/>
              </w:rPr>
            </w:pPr>
          </w:p>
        </w:tc>
      </w:tr>
    </w:tbl>
    <w:p>
      <w:pPr>
        <w:rPr>
          <w:rFonts w:ascii="楷体" w:hAnsi="楷体" w:eastAsia="楷体"/>
          <w:sz w:val="24"/>
          <w:szCs w:val="24"/>
        </w:rPr>
      </w:pPr>
    </w:p>
    <w:p>
      <w:pPr>
        <w:pStyle w:val="7"/>
        <w:rPr>
          <w:rFonts w:ascii="楷体" w:hAnsi="楷体" w:eastAsia="楷体"/>
          <w:sz w:val="24"/>
          <w:szCs w:val="24"/>
        </w:rPr>
      </w:pPr>
      <w:r>
        <w:rPr>
          <w:rFonts w:hint="eastAsia" w:ascii="楷体" w:hAnsi="楷体" w:eastAsia="楷体"/>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1C3C"/>
    <w:multiLevelType w:val="multilevel"/>
    <w:tmpl w:val="3F571C3C"/>
    <w:lvl w:ilvl="0" w:tentative="0">
      <w:start w:val="1"/>
      <w:numFmt w:val="decimal"/>
      <w:pStyle w:val="1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F68"/>
    <w:rsid w:val="0002254F"/>
    <w:rsid w:val="000237F6"/>
    <w:rsid w:val="0003373A"/>
    <w:rsid w:val="00042E2A"/>
    <w:rsid w:val="00076A04"/>
    <w:rsid w:val="0008630B"/>
    <w:rsid w:val="000A32C3"/>
    <w:rsid w:val="000B5807"/>
    <w:rsid w:val="000C6DD5"/>
    <w:rsid w:val="000D268F"/>
    <w:rsid w:val="000D384A"/>
    <w:rsid w:val="000F6963"/>
    <w:rsid w:val="00104B35"/>
    <w:rsid w:val="00164426"/>
    <w:rsid w:val="00191322"/>
    <w:rsid w:val="00192278"/>
    <w:rsid w:val="00195D37"/>
    <w:rsid w:val="001A2D7F"/>
    <w:rsid w:val="001C3AB3"/>
    <w:rsid w:val="001C5D0F"/>
    <w:rsid w:val="001D3841"/>
    <w:rsid w:val="001F3FF0"/>
    <w:rsid w:val="00233E1D"/>
    <w:rsid w:val="00300948"/>
    <w:rsid w:val="00333617"/>
    <w:rsid w:val="00337922"/>
    <w:rsid w:val="00340867"/>
    <w:rsid w:val="00355C85"/>
    <w:rsid w:val="00380837"/>
    <w:rsid w:val="003960D7"/>
    <w:rsid w:val="003A198A"/>
    <w:rsid w:val="003E27A9"/>
    <w:rsid w:val="003F470D"/>
    <w:rsid w:val="00410914"/>
    <w:rsid w:val="004A4170"/>
    <w:rsid w:val="004A5C6A"/>
    <w:rsid w:val="004C5FF1"/>
    <w:rsid w:val="004D3CC2"/>
    <w:rsid w:val="004E5A43"/>
    <w:rsid w:val="004E7BDC"/>
    <w:rsid w:val="00512708"/>
    <w:rsid w:val="00524B46"/>
    <w:rsid w:val="00527B90"/>
    <w:rsid w:val="00531CEF"/>
    <w:rsid w:val="00536930"/>
    <w:rsid w:val="00545252"/>
    <w:rsid w:val="00545695"/>
    <w:rsid w:val="005524D9"/>
    <w:rsid w:val="00564E53"/>
    <w:rsid w:val="00602940"/>
    <w:rsid w:val="00623D54"/>
    <w:rsid w:val="00644FE2"/>
    <w:rsid w:val="00664155"/>
    <w:rsid w:val="006663B7"/>
    <w:rsid w:val="0067640C"/>
    <w:rsid w:val="006A2632"/>
    <w:rsid w:val="006B1361"/>
    <w:rsid w:val="006C5235"/>
    <w:rsid w:val="006D12B7"/>
    <w:rsid w:val="006D5F25"/>
    <w:rsid w:val="006D6229"/>
    <w:rsid w:val="006D6A73"/>
    <w:rsid w:val="006E678B"/>
    <w:rsid w:val="006F0390"/>
    <w:rsid w:val="0071215C"/>
    <w:rsid w:val="007757F3"/>
    <w:rsid w:val="00790AF4"/>
    <w:rsid w:val="00795BA5"/>
    <w:rsid w:val="007B76F0"/>
    <w:rsid w:val="007C1E24"/>
    <w:rsid w:val="007D02D6"/>
    <w:rsid w:val="007E18D6"/>
    <w:rsid w:val="007E6AEB"/>
    <w:rsid w:val="008134FF"/>
    <w:rsid w:val="008303B3"/>
    <w:rsid w:val="00837665"/>
    <w:rsid w:val="0087358A"/>
    <w:rsid w:val="008846E7"/>
    <w:rsid w:val="00892DFE"/>
    <w:rsid w:val="008973EE"/>
    <w:rsid w:val="008A06E6"/>
    <w:rsid w:val="008C6944"/>
    <w:rsid w:val="008C73A8"/>
    <w:rsid w:val="008D4FE3"/>
    <w:rsid w:val="008D624E"/>
    <w:rsid w:val="00907CB4"/>
    <w:rsid w:val="00960974"/>
    <w:rsid w:val="009623AD"/>
    <w:rsid w:val="0096342F"/>
    <w:rsid w:val="00971600"/>
    <w:rsid w:val="009904F4"/>
    <w:rsid w:val="009973B4"/>
    <w:rsid w:val="009A2DE9"/>
    <w:rsid w:val="009C28C1"/>
    <w:rsid w:val="009D1E8F"/>
    <w:rsid w:val="009D48DD"/>
    <w:rsid w:val="009E250D"/>
    <w:rsid w:val="009F4E67"/>
    <w:rsid w:val="009F77E6"/>
    <w:rsid w:val="009F7EED"/>
    <w:rsid w:val="00A15BC5"/>
    <w:rsid w:val="00A54A0F"/>
    <w:rsid w:val="00A57255"/>
    <w:rsid w:val="00A65DAC"/>
    <w:rsid w:val="00A95990"/>
    <w:rsid w:val="00AB4557"/>
    <w:rsid w:val="00AC7370"/>
    <w:rsid w:val="00AE02F6"/>
    <w:rsid w:val="00AE4FC9"/>
    <w:rsid w:val="00AF0AAB"/>
    <w:rsid w:val="00B17F9E"/>
    <w:rsid w:val="00B328E3"/>
    <w:rsid w:val="00B4356C"/>
    <w:rsid w:val="00BC15BB"/>
    <w:rsid w:val="00BF597E"/>
    <w:rsid w:val="00C05834"/>
    <w:rsid w:val="00C33092"/>
    <w:rsid w:val="00C33299"/>
    <w:rsid w:val="00C44F73"/>
    <w:rsid w:val="00C51A36"/>
    <w:rsid w:val="00C5245A"/>
    <w:rsid w:val="00C55228"/>
    <w:rsid w:val="00C85880"/>
    <w:rsid w:val="00CB713C"/>
    <w:rsid w:val="00CC363E"/>
    <w:rsid w:val="00CE1290"/>
    <w:rsid w:val="00CE315A"/>
    <w:rsid w:val="00CF19A2"/>
    <w:rsid w:val="00D00044"/>
    <w:rsid w:val="00D01606"/>
    <w:rsid w:val="00D06F59"/>
    <w:rsid w:val="00D14138"/>
    <w:rsid w:val="00D64A42"/>
    <w:rsid w:val="00D67A6C"/>
    <w:rsid w:val="00D72A97"/>
    <w:rsid w:val="00D8388C"/>
    <w:rsid w:val="00DE3784"/>
    <w:rsid w:val="00DF1B16"/>
    <w:rsid w:val="00DF4AA8"/>
    <w:rsid w:val="00E05968"/>
    <w:rsid w:val="00E13262"/>
    <w:rsid w:val="00E179DD"/>
    <w:rsid w:val="00E6561A"/>
    <w:rsid w:val="00E86BA9"/>
    <w:rsid w:val="00EB0164"/>
    <w:rsid w:val="00ED0F62"/>
    <w:rsid w:val="00F40FF3"/>
    <w:rsid w:val="00F65E95"/>
    <w:rsid w:val="00F970D5"/>
    <w:rsid w:val="00FC354E"/>
    <w:rsid w:val="00FF4676"/>
    <w:rsid w:val="00FF5A63"/>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5619AF"/>
    <w:rsid w:val="43613655"/>
    <w:rsid w:val="45256947"/>
    <w:rsid w:val="454511DF"/>
    <w:rsid w:val="458C0DD7"/>
    <w:rsid w:val="46C6402F"/>
    <w:rsid w:val="46FC186C"/>
    <w:rsid w:val="48E731AA"/>
    <w:rsid w:val="49046B1C"/>
    <w:rsid w:val="49592E11"/>
    <w:rsid w:val="4AF12E50"/>
    <w:rsid w:val="4AF84B8E"/>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ind w:firstLine="480" w:firstLineChars="200"/>
    </w:pPr>
    <w:rPr>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 w:type="paragraph" w:customStyle="1" w:styleId="19">
    <w:name w:val="字母编号列项（一级）"/>
    <w:qFormat/>
    <w:uiPriority w:val="0"/>
    <w:pPr>
      <w:numPr>
        <w:ilvl w:val="0"/>
        <w:numId w:val="1"/>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742</Words>
  <Characters>4230</Characters>
  <Lines>35</Lines>
  <Paragraphs>9</Paragraphs>
  <TotalTime>0</TotalTime>
  <ScaleCrop>false</ScaleCrop>
  <LinksUpToDate>false</LinksUpToDate>
  <CharactersWithSpaces>4963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2021-01-09T09:16:55Z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