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宝鸡市红星锻造有限责任公司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18.01.04;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 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18.01.04;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18.01.04;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下料→加热→锻造成型→冲孔→车毛刺→热处理→抛丸→粗车→检验→入库。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关键过程：锻造成型、热处理，控制时间、温度、压力。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《形状和位置公差未注公差值》、GB/T702-2004《热轧圆管和方钢尺寸。外形重量及允许偏差》、GB/T12361-2003《钢质模锻件通用技术条件》、GB/T12362-2003《钢质模锻件公差及机械加工余量》、GB/T17505-1998《钢及钢产品交货一般技术要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111760</wp:posOffset>
            </wp:positionV>
            <wp:extent cx="352425" cy="271145"/>
            <wp:effectExtent l="0" t="0" r="3175" b="825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149860</wp:posOffset>
            </wp:positionV>
            <wp:extent cx="352425" cy="271145"/>
            <wp:effectExtent l="0" t="0" r="3175" b="8255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  <w:r>
        <w:rPr>
          <w:rFonts w:ascii="宋体"/>
          <w:b/>
          <w:sz w:val="22"/>
          <w:szCs w:val="22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2021.2.25</w:t>
      </w:r>
      <w:r>
        <w:rPr>
          <w:rFonts w:ascii="宋体"/>
          <w:b/>
          <w:sz w:val="22"/>
          <w:szCs w:val="22"/>
        </w:rPr>
        <w:t xml:space="preserve">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229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2021-02-25T03:36:18Z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