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北京天城环保科技有限公司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2020-N1QMS-4014142</w:t>
            </w:r>
          </w:p>
          <w:p>
            <w:pPr>
              <w:jc w:val="center"/>
              <w:rPr>
                <w:b/>
                <w:sz w:val="21"/>
                <w:szCs w:val="21"/>
              </w:rPr>
            </w:pPr>
            <w:r>
              <w:rPr>
                <w:b/>
                <w:sz w:val="21"/>
                <w:szCs w:val="21"/>
              </w:rPr>
              <w:t>2020-N1OHSMS-3014142</w:t>
            </w:r>
          </w:p>
          <w:p>
            <w:pPr>
              <w:jc w:val="center"/>
              <w:rPr>
                <w:b/>
                <w:sz w:val="21"/>
                <w:szCs w:val="21"/>
              </w:rPr>
            </w:pPr>
            <w:r>
              <w:rPr>
                <w:b/>
                <w:sz w:val="21"/>
                <w:szCs w:val="21"/>
              </w:rPr>
              <w:t>2020-N1EMS-3014142</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O:29.12.00</w:t>
            </w:r>
          </w:p>
          <w:p>
            <w:pPr>
              <w:jc w:val="center"/>
              <w:rPr>
                <w:b/>
                <w:sz w:val="21"/>
                <w:szCs w:val="21"/>
              </w:rPr>
            </w:pPr>
            <w:r>
              <w:rPr>
                <w:b/>
                <w:sz w:val="21"/>
                <w:szCs w:val="21"/>
              </w:rPr>
              <w:t>E:29.12.00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2018-N1QMS-2205805</w:t>
            </w:r>
          </w:p>
          <w:p>
            <w:pPr>
              <w:jc w:val="center"/>
              <w:rPr>
                <w:b/>
                <w:sz w:val="21"/>
                <w:szCs w:val="21"/>
              </w:rPr>
            </w:pPr>
            <w:r>
              <w:rPr>
                <w:b/>
                <w:sz w:val="21"/>
                <w:szCs w:val="21"/>
              </w:rPr>
              <w:t>2018-N1EMS-2205805</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王亚慧</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O:专家</w:t>
            </w:r>
          </w:p>
          <w:p>
            <w:pPr>
              <w:jc w:val="center"/>
              <w:rPr>
                <w:b/>
                <w:sz w:val="21"/>
                <w:szCs w:val="21"/>
              </w:rPr>
            </w:pPr>
            <w:r>
              <w:rPr>
                <w:b/>
                <w:sz w:val="21"/>
                <w:szCs w:val="21"/>
              </w:rPr>
              <w:t>E:专家</w:t>
            </w:r>
          </w:p>
          <w:p>
            <w:pPr>
              <w:jc w:val="center"/>
              <w:rPr>
                <w:b/>
                <w:sz w:val="21"/>
                <w:szCs w:val="21"/>
              </w:rPr>
            </w:pPr>
            <w:r>
              <w:rPr>
                <w:b/>
                <w:sz w:val="21"/>
                <w:szCs w:val="21"/>
              </w:rPr>
              <w:t>工程师</w:t>
            </w:r>
          </w:p>
        </w:tc>
        <w:tc>
          <w:tcPr>
            <w:tcW w:w="1699" w:type="dxa"/>
            <w:vAlign w:val="center"/>
          </w:tcPr>
          <w:p>
            <w:pPr>
              <w:jc w:val="center"/>
              <w:rPr>
                <w:b/>
                <w:sz w:val="21"/>
                <w:szCs w:val="21"/>
              </w:rPr>
            </w:pPr>
            <w:r>
              <w:rPr>
                <w:b/>
                <w:sz w:val="21"/>
                <w:szCs w:val="21"/>
              </w:rPr>
              <w:t>北京华杨环保科技有限公司</w:t>
            </w:r>
          </w:p>
        </w:tc>
        <w:tc>
          <w:tcPr>
            <w:tcW w:w="1728" w:type="dxa"/>
            <w:gridSpan w:val="2"/>
            <w:vAlign w:val="center"/>
          </w:tcPr>
          <w:p>
            <w:pPr>
              <w:jc w:val="center"/>
              <w:rPr>
                <w:b/>
                <w:sz w:val="21"/>
                <w:szCs w:val="21"/>
              </w:rPr>
            </w:pPr>
            <w:r>
              <w:rPr>
                <w:b/>
                <w:sz w:val="21"/>
                <w:szCs w:val="21"/>
              </w:rPr>
              <w:t>Q:39.04.00</w:t>
            </w:r>
          </w:p>
          <w:p>
            <w:pPr>
              <w:jc w:val="center"/>
              <w:rPr>
                <w:b/>
                <w:sz w:val="21"/>
                <w:szCs w:val="21"/>
              </w:rPr>
            </w:pPr>
            <w:r>
              <w:rPr>
                <w:b/>
                <w:sz w:val="21"/>
                <w:szCs w:val="21"/>
              </w:rPr>
              <w:t>O:39.04.00</w:t>
            </w:r>
          </w:p>
          <w:p>
            <w:pPr>
              <w:jc w:val="center"/>
              <w:rPr>
                <w:b/>
                <w:sz w:val="21"/>
                <w:szCs w:val="21"/>
              </w:rPr>
            </w:pPr>
            <w:r>
              <w:rPr>
                <w:b/>
                <w:sz w:val="21"/>
                <w:szCs w:val="21"/>
              </w:rPr>
              <w:t>E:39.04.00</w:t>
            </w:r>
          </w:p>
        </w:tc>
        <w:tc>
          <w:tcPr>
            <w:tcW w:w="1729" w:type="dxa"/>
            <w:gridSpan w:val="2"/>
            <w:vAlign w:val="center"/>
          </w:tcPr>
          <w:p>
            <w:pPr>
              <w:jc w:val="center"/>
              <w:rPr>
                <w:b/>
                <w:sz w:val="21"/>
                <w:szCs w:val="21"/>
              </w:rPr>
            </w:pPr>
            <w:r>
              <w:rPr>
                <w:b/>
                <w:sz w:val="21"/>
                <w:szCs w:val="21"/>
              </w:rPr>
              <w:t>ISC-JSZJ-057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北京天城环保科技有限公司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核实11人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北京市顺义区临空经济核心区融慧园6号楼3-118</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101399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北京市西城区安德路112号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100011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北京市西城区安德路112号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100011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陈效芸</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010-56075790</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刘凯</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陈效芸</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2021年01月20日 上午至2021年01月21日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b/>
                <w:sz w:val="21"/>
                <w:szCs w:val="22"/>
              </w:rPr>
            </w:pPr>
            <w:r>
              <w:rPr>
                <w:rFonts w:hint="eastAsia" w:ascii="宋体"/>
                <w:b/>
                <w:sz w:val="21"/>
                <w:szCs w:val="22"/>
              </w:rPr>
              <w:t>Q：烟气排放的治理、集中餐饮油烟的治理，机械设备、电气设备的销售</w:t>
            </w:r>
          </w:p>
          <w:p>
            <w:pPr>
              <w:rPr>
                <w:rFonts w:ascii="宋体"/>
                <w:b/>
                <w:sz w:val="21"/>
                <w:szCs w:val="22"/>
              </w:rPr>
            </w:pPr>
            <w:r>
              <w:rPr>
                <w:rFonts w:hint="eastAsia" w:ascii="宋体"/>
                <w:b/>
                <w:sz w:val="21"/>
                <w:szCs w:val="22"/>
              </w:rPr>
              <w:t>O：烟气排放的治理、集中餐饮油烟的治理，机械设备、电气设备的销售所涉及场所的相关职业健康安全管理活动</w:t>
            </w:r>
          </w:p>
          <w:p>
            <w:pPr>
              <w:rPr>
                <w:rFonts w:ascii="宋体" w:hAnsi="宋体"/>
                <w:b/>
                <w:sz w:val="21"/>
                <w:szCs w:val="21"/>
              </w:rPr>
            </w:pPr>
            <w:r>
              <w:rPr>
                <w:rFonts w:hint="eastAsia" w:ascii="宋体"/>
                <w:b/>
                <w:sz w:val="21"/>
                <w:szCs w:val="22"/>
              </w:rPr>
              <w:t>E：烟气排放的治理、集中餐饮油烟的治理，机械设备、电气设备的销售所涉及场所的相关环境管理活动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rPr>
                <w:rFonts w:hint="eastAsia" w:ascii="宋体"/>
                <w:b/>
                <w:sz w:val="21"/>
                <w:szCs w:val="22"/>
              </w:rPr>
            </w:pPr>
            <w:r>
              <w:rPr>
                <w:rFonts w:hint="eastAsia" w:ascii="宋体"/>
                <w:b/>
                <w:sz w:val="21"/>
                <w:szCs w:val="22"/>
              </w:rPr>
              <w:t>原范围：</w:t>
            </w:r>
            <w:bookmarkStart w:id="22" w:name="审核范围"/>
          </w:p>
          <w:p>
            <w:pPr>
              <w:rPr>
                <w:rFonts w:hint="eastAsia" w:ascii="宋体"/>
                <w:b/>
                <w:sz w:val="21"/>
                <w:szCs w:val="22"/>
              </w:rPr>
            </w:pPr>
            <w:r>
              <w:rPr>
                <w:rFonts w:hint="eastAsia" w:ascii="宋体"/>
                <w:b/>
                <w:sz w:val="21"/>
                <w:szCs w:val="22"/>
              </w:rPr>
              <w:t>Q：烟气排放的治理、集中餐饮油烟的治理，(资质要求除外的)化工产品、厨具卫具、机械设备、电气设备的销售</w:t>
            </w:r>
          </w:p>
          <w:p>
            <w:pPr>
              <w:rPr>
                <w:rFonts w:hint="eastAsia" w:ascii="宋体"/>
                <w:b/>
                <w:sz w:val="21"/>
                <w:szCs w:val="22"/>
              </w:rPr>
            </w:pPr>
            <w:r>
              <w:rPr>
                <w:rFonts w:hint="eastAsia" w:ascii="宋体"/>
                <w:b/>
                <w:sz w:val="21"/>
                <w:szCs w:val="22"/>
              </w:rPr>
              <w:t>O：烟气排放的治理、集中餐饮油烟的治理，(资质要求除外的)化工产品、厨具卫具、机械设备、电气设备的销售及相关职业健康安全管理活动</w:t>
            </w:r>
          </w:p>
          <w:p>
            <w:pPr>
              <w:rPr>
                <w:rFonts w:hint="eastAsia" w:ascii="宋体"/>
                <w:b/>
                <w:sz w:val="21"/>
                <w:szCs w:val="22"/>
              </w:rPr>
            </w:pPr>
            <w:r>
              <w:rPr>
                <w:rFonts w:hint="eastAsia" w:ascii="宋体"/>
                <w:b/>
                <w:sz w:val="21"/>
                <w:szCs w:val="22"/>
              </w:rPr>
              <w:t>E：烟气排放的治理、集中餐饮油烟的治理，(资质要求除外的)化工产品、厨具卫具、机械设备、电气设备的销售及相关环境管理活动</w:t>
            </w:r>
            <w:bookmarkEnd w:id="22"/>
          </w:p>
          <w:p>
            <w:pPr>
              <w:rPr>
                <w:rFonts w:hint="eastAsia" w:ascii="宋体"/>
                <w:b/>
                <w:sz w:val="21"/>
                <w:szCs w:val="22"/>
              </w:rPr>
            </w:pPr>
            <w:r>
              <w:rPr>
                <w:rFonts w:hint="eastAsia" w:ascii="宋体"/>
                <w:b/>
                <w:sz w:val="21"/>
                <w:szCs w:val="22"/>
              </w:rPr>
              <w:t>现范围：</w:t>
            </w:r>
          </w:p>
          <w:p>
            <w:pPr>
              <w:rPr>
                <w:rFonts w:hint="eastAsia" w:ascii="宋体"/>
                <w:b/>
                <w:sz w:val="21"/>
                <w:szCs w:val="22"/>
              </w:rPr>
            </w:pPr>
            <w:r>
              <w:rPr>
                <w:rFonts w:hint="eastAsia" w:ascii="宋体"/>
                <w:b/>
                <w:sz w:val="21"/>
                <w:szCs w:val="22"/>
              </w:rPr>
              <w:t>Q：烟气排放的治理、集中餐饮油烟的治理，机械设备、电气设备的销售</w:t>
            </w:r>
          </w:p>
          <w:p>
            <w:pPr>
              <w:rPr>
                <w:rFonts w:hint="eastAsia" w:ascii="宋体"/>
                <w:b/>
                <w:sz w:val="21"/>
                <w:szCs w:val="22"/>
              </w:rPr>
            </w:pPr>
            <w:r>
              <w:rPr>
                <w:rFonts w:hint="eastAsia" w:ascii="宋体"/>
                <w:b/>
                <w:sz w:val="21"/>
                <w:szCs w:val="22"/>
              </w:rPr>
              <w:t>O：烟气排放的治理、集中餐饮油烟的治理，机械设备、电气设备的销售所涉及场所的相关职业健康安全管理活动</w:t>
            </w:r>
          </w:p>
          <w:p>
            <w:pPr>
              <w:rPr>
                <w:rFonts w:ascii="宋体" w:hAnsi="宋体"/>
                <w:b/>
                <w:sz w:val="21"/>
                <w:szCs w:val="21"/>
              </w:rPr>
            </w:pPr>
            <w:r>
              <w:rPr>
                <w:rFonts w:hint="eastAsia" w:ascii="宋体"/>
                <w:b/>
                <w:sz w:val="21"/>
                <w:szCs w:val="22"/>
              </w:rPr>
              <w:t xml:space="preserve">E：烟气排放的治理、集中餐饮油烟的治理，机械设备、电气设备的销售所涉及场所的相关环境管理活动   </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Q：29.12.00;39.04.00</w:t>
            </w:r>
          </w:p>
          <w:p>
            <w:pPr>
              <w:spacing w:line="260" w:lineRule="exact"/>
              <w:rPr>
                <w:rFonts w:ascii="宋体" w:hAnsi="宋体"/>
                <w:b/>
                <w:sz w:val="21"/>
                <w:szCs w:val="21"/>
              </w:rPr>
            </w:pPr>
            <w:r>
              <w:rPr>
                <w:rFonts w:ascii="宋体" w:hAnsi="宋体"/>
                <w:b/>
                <w:sz w:val="21"/>
                <w:szCs w:val="21"/>
              </w:rPr>
              <w:t>O：29.12.00;39.04.00</w:t>
            </w:r>
          </w:p>
          <w:p>
            <w:pPr>
              <w:spacing w:line="260" w:lineRule="exact"/>
              <w:rPr>
                <w:rFonts w:ascii="宋体" w:hAnsi="宋体"/>
                <w:b/>
                <w:sz w:val="21"/>
                <w:szCs w:val="21"/>
              </w:rPr>
            </w:pPr>
            <w:r>
              <w:rPr>
                <w:rFonts w:ascii="宋体" w:hAnsi="宋体"/>
                <w:b/>
                <w:sz w:val="21"/>
                <w:szCs w:val="21"/>
              </w:rPr>
              <w:t>E：29.12.00;39.04.00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2022-11-12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ascii="宋体"/>
                <w:b/>
                <w:sz w:val="21"/>
              </w:rPr>
            </w:pPr>
            <w:r>
              <w:rPr>
                <w:rFonts w:hint="eastAsia" w:ascii="宋体" w:hAnsi="宋体"/>
                <w:b/>
                <w:sz w:val="21"/>
                <w:szCs w:val="21"/>
                <w:lang w:val="en-US" w:eastAsia="zh-CN"/>
              </w:rPr>
              <w:t>2019-10-26 -- 2019-11-04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4</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80" w:firstLineChars="200"/>
              <w:rPr>
                <w:rFonts w:hint="eastAsia" w:ascii="宋体" w:hAnsi="宋体"/>
                <w:color w:val="000000" w:themeColor="text1"/>
              </w:rPr>
            </w:pPr>
          </w:p>
          <w:p>
            <w:pPr>
              <w:spacing w:line="240" w:lineRule="exact"/>
              <w:ind w:firstLine="480" w:firstLineChars="200"/>
              <w:rPr>
                <w:rFonts w:hint="eastAsia" w:ascii="宋体" w:hAnsi="宋体"/>
                <w:szCs w:val="21"/>
                <w:lang w:eastAsia="zh-CN"/>
              </w:rPr>
            </w:pPr>
            <w:r>
              <w:rPr>
                <w:rFonts w:ascii="宋体" w:hAnsi="宋体"/>
                <w:szCs w:val="21"/>
              </w:rPr>
              <w:t>北京天城环保科技有限公司</w:t>
            </w:r>
            <w:r>
              <w:rPr>
                <w:rFonts w:hint="eastAsia" w:ascii="宋体" w:hAnsi="宋体"/>
                <w:szCs w:val="21"/>
                <w:lang w:eastAsia="zh-CN"/>
              </w:rPr>
              <w:t>，成立日期：2015-07-24营业期限：2015-07-24 至 2065-07-23</w:t>
            </w:r>
            <w:r>
              <w:rPr>
                <w:rFonts w:hint="eastAsia" w:ascii="宋体" w:hAnsi="宋体"/>
                <w:szCs w:val="21"/>
                <w:lang w:val="en-US" w:eastAsia="zh-CN"/>
              </w:rPr>
              <w:t xml:space="preserve"> </w:t>
            </w:r>
            <w:r>
              <w:rPr>
                <w:rFonts w:hint="eastAsia" w:ascii="宋体" w:hAnsi="宋体"/>
                <w:szCs w:val="21"/>
                <w:lang w:eastAsia="zh-CN"/>
              </w:rPr>
              <w:t>注册资金：5000万</w:t>
            </w:r>
          </w:p>
          <w:p>
            <w:pPr>
              <w:spacing w:line="240" w:lineRule="exact"/>
              <w:ind w:firstLine="480" w:firstLineChars="200"/>
              <w:rPr>
                <w:rFonts w:hint="eastAsia" w:ascii="宋体" w:hAnsi="宋体"/>
                <w:color w:val="000000" w:themeColor="text1"/>
              </w:rPr>
            </w:pPr>
            <w:r>
              <w:rPr>
                <w:rFonts w:hint="eastAsia" w:ascii="宋体" w:hAnsi="宋体"/>
                <w:color w:val="000000" w:themeColor="text1"/>
              </w:rPr>
              <w:t xml:space="preserve"> 注 册 地 址</w:t>
            </w:r>
            <w:r>
              <w:rPr>
                <w:rFonts w:hint="eastAsia" w:ascii="宋体" w:hAnsi="宋体"/>
                <w:color w:val="000000" w:themeColor="text1"/>
              </w:rPr>
              <w:tab/>
            </w:r>
            <w:r>
              <w:rPr>
                <w:rFonts w:hint="eastAsia" w:ascii="宋体" w:hAnsi="宋体"/>
                <w:color w:val="000000" w:themeColor="text1"/>
              </w:rPr>
              <w:t>北京市顺义区临空经济核心区融慧园6号楼3-118</w:t>
            </w:r>
          </w:p>
          <w:p>
            <w:pPr>
              <w:spacing w:line="240" w:lineRule="exact"/>
              <w:ind w:firstLine="480" w:firstLineChars="200"/>
              <w:rPr>
                <w:rFonts w:hint="eastAsia" w:ascii="宋体" w:hAnsi="宋体"/>
                <w:color w:val="000000" w:themeColor="text1"/>
              </w:rPr>
            </w:pPr>
            <w:r>
              <w:rPr>
                <w:rFonts w:hint="eastAsia" w:ascii="宋体" w:hAnsi="宋体"/>
                <w:color w:val="000000" w:themeColor="text1"/>
              </w:rPr>
              <w:t>生产经营地址</w:t>
            </w:r>
            <w:r>
              <w:rPr>
                <w:rFonts w:hint="eastAsia" w:ascii="宋体" w:hAnsi="宋体"/>
                <w:color w:val="000000" w:themeColor="text1"/>
              </w:rPr>
              <w:tab/>
            </w:r>
            <w:r>
              <w:rPr>
                <w:rFonts w:hint="eastAsia" w:ascii="宋体" w:hAnsi="宋体"/>
                <w:color w:val="000000" w:themeColor="text1"/>
              </w:rPr>
              <w:t>北京市西城区安德路112号</w:t>
            </w:r>
          </w:p>
          <w:p>
            <w:pPr>
              <w:spacing w:line="240" w:lineRule="exact"/>
              <w:ind w:firstLine="480" w:firstLineChars="200"/>
              <w:rPr>
                <w:rFonts w:hint="eastAsia" w:ascii="宋体" w:hAnsi="宋体"/>
                <w:color w:val="000000" w:themeColor="text1"/>
              </w:rPr>
            </w:pPr>
            <w:r>
              <w:rPr>
                <w:rFonts w:hint="eastAsia" w:ascii="宋体" w:hAnsi="宋体"/>
                <w:color w:val="000000" w:themeColor="text1"/>
              </w:rPr>
              <w:t>经营范围：烟气排放的治理、集中餐饮油烟的治理，机械设备、电气设备的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rPr>
                <w:rFonts w:hint="eastAsia" w:ascii="宋体" w:hAnsi="宋体"/>
                <w:b/>
                <w:sz w:val="21"/>
                <w:szCs w:val="21"/>
              </w:rPr>
            </w:pPr>
            <w:r>
              <w:rPr>
                <w:rFonts w:hint="eastAsia" w:ascii="宋体" w:hAnsi="宋体"/>
                <w:color w:val="000000" w:themeColor="text1"/>
              </w:rPr>
              <w:t>提供了《组织内外部环境因素识别表》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240" w:lineRule="exact"/>
              <w:ind w:firstLine="480" w:firstLineChars="200"/>
              <w:rPr>
                <w:rFonts w:ascii="宋体" w:hAnsi="宋体" w:cs="宋体"/>
                <w:color w:val="000000"/>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numPr>
                <w:ilvl w:val="0"/>
                <w:numId w:val="0"/>
              </w:numPr>
              <w:spacing w:line="240" w:lineRule="exact"/>
              <w:rPr>
                <w:rFonts w:hint="eastAsia" w:ascii="宋体" w:hAnsi="宋体"/>
                <w:b/>
                <w:sz w:val="21"/>
                <w:szCs w:val="21"/>
              </w:rPr>
            </w:pPr>
            <w:r>
              <w:rPr>
                <w:rFonts w:hint="eastAsia" w:ascii="宋体" w:hAnsi="宋体" w:cs="宋体"/>
                <w:color w:val="000000"/>
                <w:szCs w:val="21"/>
              </w:rPr>
              <w:t>主要顾客群：餐饮、酒店、学校、村民、个体用户等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540" w:firstLineChars="225"/>
              <w:rPr>
                <w:rFonts w:ascii="宋体" w:hAnsi="宋体"/>
                <w:b/>
                <w:sz w:val="21"/>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争创行业先进，造就精品工程；服务社会民生，保证顾客满意；遵守法律法规，提高环境绩效</w:t>
            </w:r>
            <w:r>
              <w:rPr>
                <w:rFonts w:hint="eastAsia" w:ascii="宋体" w:hAnsi="宋体" w:cs="宋体"/>
                <w:b/>
                <w:szCs w:val="21"/>
              </w:rPr>
              <w:t>”。</w:t>
            </w:r>
            <w:r>
              <w:rPr>
                <w:rFonts w:hint="eastAsia" w:ascii="宋体" w:hAnsi="宋体"/>
                <w:color w:val="000000" w:themeColor="text1"/>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pPr>
              <w:spacing w:line="240" w:lineRule="exact"/>
              <w:ind w:firstLine="48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ind w:firstLine="480" w:firstLineChars="200"/>
              <w:rPr>
                <w:rFonts w:hint="eastAsia" w:ascii="宋体" w:hAnsi="宋体"/>
                <w:color w:val="000000" w:themeColor="text1"/>
              </w:rPr>
            </w:pPr>
            <w:r>
              <w:rPr>
                <w:rFonts w:hint="eastAsia" w:ascii="宋体" w:hAnsi="宋体"/>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80" w:firstLineChars="200"/>
              <w:rPr>
                <w:rFonts w:hint="eastAsia" w:ascii="宋体" w:hAnsi="宋体"/>
                <w:color w:val="000000" w:themeColor="text1"/>
              </w:rPr>
            </w:pPr>
            <w:r>
              <w:rPr>
                <w:rFonts w:hint="eastAsia" w:ascii="宋体" w:hAnsi="宋体"/>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80" w:firstLineChars="200"/>
              <w:rPr>
                <w:rFonts w:hint="eastAsia" w:ascii="宋体" w:hAnsi="宋体" w:eastAsia="宋体" w:cs="Times New Roman"/>
                <w:color w:val="000000" w:themeColor="text1"/>
                <w:kern w:val="2"/>
                <w:sz w:val="24"/>
                <w:lang w:val="en-US" w:eastAsia="zh-CN" w:bidi="ar-SA"/>
              </w:rPr>
            </w:pPr>
            <w:r>
              <w:rPr>
                <w:rFonts w:hint="eastAsia" w:ascii="宋体" w:hAnsi="宋体"/>
                <w:color w:val="000000" w:themeColor="text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hint="eastAsia"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rPr>
                <w:rFonts w:hint="eastAsia"/>
                <w:lang w:eastAsia="zh-CN"/>
              </w:rPr>
            </w:pPr>
            <w:r>
              <w:rPr>
                <w:rFonts w:hint="eastAsia" w:ascii="宋体" w:hAnsi="宋体"/>
                <w:b/>
                <w:color w:val="000000" w:themeColor="text1"/>
                <w:sz w:val="20"/>
                <w:szCs w:val="20"/>
              </w:rPr>
              <w:t>质量管理体系过程有：</w:t>
            </w:r>
            <w:r>
              <w:rPr>
                <w:rFonts w:hint="eastAsia"/>
              </w:rPr>
              <w:t>烟气排放的治理、集中餐饮油烟的治理</w:t>
            </w:r>
            <w:r>
              <w:rPr>
                <w:rFonts w:hint="eastAsia"/>
                <w:lang w:eastAsia="zh-CN"/>
              </w:rPr>
              <w:t>：</w:t>
            </w:r>
          </w:p>
          <w:p>
            <w:pPr>
              <w:rPr>
                <w:rFonts w:hint="eastAsia"/>
              </w:rPr>
            </w:pPr>
            <w:r>
              <w:rPr>
                <w:rFonts w:hint="eastAsia"/>
              </w:rPr>
              <w:t>准备-物资到场（风管、净化器等）-安装-调试-验收</w:t>
            </w:r>
          </w:p>
          <w:p>
            <w:pPr>
              <w:rPr>
                <w:rFonts w:hint="default"/>
                <w:lang w:val="en-US" w:eastAsia="zh-CN"/>
              </w:rPr>
            </w:pPr>
            <w:r>
              <w:rPr>
                <w:rFonts w:hint="eastAsia"/>
              </w:rPr>
              <w:t>销售流程：签订合同→采购→产品检验→发货→客户签收→满意度回访</w:t>
            </w:r>
          </w:p>
          <w:p>
            <w:pPr>
              <w:tabs>
                <w:tab w:val="left" w:pos="540"/>
              </w:tabs>
              <w:spacing w:line="300" w:lineRule="exact"/>
              <w:ind w:left="201" w:hanging="201" w:hangingChars="100"/>
              <w:rPr>
                <w:rFonts w:hint="eastAsia" w:ascii="宋体" w:hAnsi="宋体"/>
                <w:b/>
                <w:color w:val="000000" w:themeColor="text1"/>
                <w:sz w:val="20"/>
                <w:szCs w:val="20"/>
                <w:u w:val="single"/>
              </w:rPr>
            </w:pPr>
            <w:r>
              <w:rPr>
                <w:rFonts w:hint="eastAsia" w:ascii="宋体" w:hAnsi="宋体"/>
                <w:b/>
                <w:color w:val="000000" w:themeColor="text1"/>
                <w:sz w:val="20"/>
                <w:szCs w:val="20"/>
              </w:rPr>
              <w:t xml:space="preserve">其中关键过程有：安装烟气排放、集中餐饮油烟安装 </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需要确认过程： 销售服务过程</w:t>
            </w:r>
          </w:p>
          <w:p>
            <w:pPr>
              <w:tabs>
                <w:tab w:val="left" w:pos="540"/>
              </w:tabs>
              <w:spacing w:line="300" w:lineRule="exact"/>
              <w:ind w:left="211" w:hanging="240" w:hangingChars="100"/>
              <w:rPr>
                <w:rFonts w:ascii="宋体" w:hAnsi="宋体"/>
                <w:b/>
                <w:sz w:val="21"/>
                <w:szCs w:val="21"/>
              </w:rPr>
            </w:pPr>
            <w:r>
              <w:rPr>
                <w:rFonts w:hint="eastAsia" w:asciiTheme="minorEastAsia" w:hAnsiTheme="minorEastAsia" w:eastAsiaTheme="minorEastAsia"/>
                <w:bCs/>
                <w:iCs/>
              </w:rPr>
              <w:t>不适用条款是 Q8.3</w:t>
            </w:r>
            <w:r>
              <w:rPr>
                <w:rFonts w:asciiTheme="minorEastAsia" w:hAnsiTheme="minorEastAsia" w:eastAsiaTheme="minorEastAsia"/>
                <w:bCs/>
                <w:iCs/>
              </w:rPr>
              <w:t xml:space="preserve"> </w:t>
            </w:r>
            <w:r>
              <w:rPr>
                <w:rFonts w:hint="eastAsia" w:asciiTheme="minorEastAsia" w:hAnsiTheme="minorEastAsia" w:eastAsiaTheme="minorEastAsia"/>
                <w:bCs/>
                <w:iCs/>
              </w:rPr>
              <w:t xml:space="preserve">  ，不适用理由：</w:t>
            </w:r>
            <w:r>
              <w:rPr>
                <w:rFonts w:hint="eastAsia" w:ascii="宋体" w:hAnsi="宋体"/>
                <w:b/>
                <w:color w:val="000000" w:themeColor="text1"/>
                <w:sz w:val="20"/>
                <w:szCs w:val="20"/>
              </w:rPr>
              <w:t>安装烟气排放、集中餐饮油烟安装及销售服务</w:t>
            </w:r>
            <w:r>
              <w:rPr>
                <w:rFonts w:hint="eastAsia" w:asciiTheme="minorEastAsia" w:hAnsiTheme="minorEastAsia" w:eastAsiaTheme="minorEastAsia"/>
                <w:bCs/>
                <w:iCs/>
              </w:rPr>
              <w:t>按顾客及相关法律法规要求执行，删减后不影响向顾客提供合格产品，故该条款不适用。</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1）固废（含危废）排放；</w:t>
            </w:r>
            <w:r>
              <w:rPr>
                <w:rFonts w:asciiTheme="minorEastAsia" w:hAnsiTheme="minorEastAsia" w:eastAsiaTheme="minorEastAsia"/>
                <w:bCs/>
                <w:iCs/>
              </w:rPr>
              <w:t>2</w:t>
            </w:r>
            <w:r>
              <w:rPr>
                <w:rFonts w:hint="eastAsia" w:asciiTheme="minorEastAsia" w:hAnsiTheme="minorEastAsia" w:eastAsiaTheme="minorEastAsia"/>
                <w:bCs/>
                <w:iCs/>
              </w:rPr>
              <w:t>）火灾爆炸；具体控制措施，包括：固废的控制、潜在火灾的应急预案等。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00" w:lineRule="exact"/>
              <w:ind w:firstLine="480" w:firstLineChars="200"/>
              <w:rPr>
                <w:rFonts w:hint="eastAsia" w:ascii="宋体" w:hAnsi="宋体"/>
                <w:color w:val="000000" w:themeColor="text1"/>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p>
            <w:pPr>
              <w:spacing w:line="240" w:lineRule="exact"/>
              <w:rPr>
                <w:rFonts w:hint="eastAsia" w:ascii="宋体" w:hAnsi="宋体"/>
                <w:b/>
                <w:sz w:val="21"/>
                <w:szCs w:val="21"/>
              </w:rPr>
            </w:pPr>
            <w:r>
              <w:rPr>
                <w:rFonts w:hint="eastAsia" w:ascii="宋体" w:hAnsi="宋体"/>
                <w:color w:val="000000" w:themeColor="text1"/>
              </w:rPr>
              <w:t>不可接受危险源：火灾、触电、物体打击、高处坠落、交通伤害等制定管理方案和应急预案，控制有效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hint="eastAsia"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年3月</w:t>
            </w:r>
            <w:r>
              <w:rPr>
                <w:rFonts w:ascii="宋体" w:hAnsi="宋体" w:cs="宋体"/>
                <w:color w:val="000000" w:themeColor="text1"/>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sz w:val="21"/>
                <w:szCs w:val="21"/>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hint="eastAsia" w:ascii="宋体" w:hAnsi="宋体" w:cs="宋体"/>
                <w:szCs w:val="21"/>
              </w:rPr>
            </w:pPr>
            <w:r>
              <w:rPr>
                <w:rFonts w:hint="eastAsia" w:ascii="宋体" w:hAnsi="宋体"/>
                <w:szCs w:val="21"/>
              </w:rPr>
              <w:t>办公场</w:t>
            </w:r>
            <w:r>
              <w:rPr>
                <w:rFonts w:hint="eastAsia" w:ascii="宋体" w:hAnsi="宋体" w:cs="宋体"/>
                <w:szCs w:val="21"/>
              </w:rPr>
              <w:t>所面积</w:t>
            </w:r>
            <w:r>
              <w:rPr>
                <w:rFonts w:ascii="宋体" w:hAnsi="宋体" w:cs="宋体"/>
                <w:szCs w:val="21"/>
              </w:rPr>
              <w:t>70</w:t>
            </w:r>
            <w:r>
              <w:rPr>
                <w:rFonts w:hint="eastAsia" w:ascii="宋体" w:hAnsi="宋体" w:cs="宋体"/>
                <w:szCs w:val="21"/>
              </w:rPr>
              <w:t>平方左右。主要包括</w:t>
            </w:r>
          </w:p>
          <w:p>
            <w:pPr>
              <w:spacing w:line="240" w:lineRule="exact"/>
              <w:rPr>
                <w:rFonts w:hint="eastAsia" w:ascii="宋体" w:hAnsi="宋体" w:cs="宋体"/>
                <w:szCs w:val="21"/>
              </w:rPr>
            </w:pPr>
            <w:r>
              <w:rPr>
                <w:rFonts w:hint="eastAsia" w:ascii="宋体" w:hAnsi="宋体" w:cs="宋体"/>
                <w:szCs w:val="21"/>
                <w:lang w:val="en-US" w:eastAsia="zh-CN"/>
              </w:rPr>
              <w:t>生产设备：</w:t>
            </w:r>
            <w:r>
              <w:rPr>
                <w:rFonts w:hint="eastAsia" w:ascii="宋体" w:hAnsi="宋体" w:cs="宋体"/>
                <w:szCs w:val="21"/>
              </w:rPr>
              <w:t>便携式的缝纫管机、电钻、角磨机、铆钉枪、锤子、钳子、螺丝刀、电焊机、玻璃胶枪</w:t>
            </w:r>
          </w:p>
          <w:p>
            <w:pPr>
              <w:spacing w:line="240" w:lineRule="exact"/>
              <w:rPr>
                <w:rFonts w:ascii="宋体" w:hAnsi="宋体"/>
                <w:b/>
                <w:sz w:val="21"/>
                <w:szCs w:val="21"/>
              </w:rPr>
            </w:pPr>
            <w:r>
              <w:rPr>
                <w:rFonts w:hint="eastAsia" w:ascii="宋体" w:hAnsi="宋体"/>
                <w:color w:val="000000"/>
                <w:spacing w:val="-10"/>
                <w:sz w:val="20"/>
                <w:szCs w:val="20"/>
              </w:rPr>
              <w:t>办公设备如电脑、打印机、复印机、办公桌椅等等。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sz w:val="21"/>
                <w:szCs w:val="21"/>
              </w:rPr>
            </w:pPr>
            <w:r>
              <w:rPr>
                <w:rFonts w:hint="eastAsia" w:ascii="宋体" w:hAnsi="宋体" w:cs="宋体"/>
                <w:szCs w:val="21"/>
              </w:rPr>
              <w:t>办公场所和内设备布置合理，通道畅通，照明设施齐全，均配备了消防设施等设施。综合部明亮，培训场所光线较充足。每月由综合部对工作环境进行定期检查。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ascii="宋体" w:hAnsi="宋体" w:cs="宋体"/>
              </w:rPr>
              <w:t xml:space="preserve">    不需要硬件设备，对服务进行顾客满意调查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0"/>
                <w:szCs w:val="20"/>
              </w:rPr>
            </w:pPr>
            <w:r>
              <w:rPr>
                <w:rFonts w:hint="eastAsia" w:ascii="宋体" w:hAnsi="宋体"/>
                <w:b/>
                <w:sz w:val="20"/>
                <w:szCs w:val="20"/>
              </w:rPr>
              <w:t>环保设施：</w:t>
            </w:r>
          </w:p>
          <w:p>
            <w:pPr>
              <w:spacing w:line="240" w:lineRule="exact"/>
              <w:ind w:firstLine="422" w:firstLineChars="200"/>
              <w:rPr>
                <w:rFonts w:hint="default" w:ascii="宋体" w:hAnsi="宋体" w:eastAsia="宋体"/>
                <w:b/>
                <w:sz w:val="21"/>
                <w:szCs w:val="21"/>
                <w:lang w:val="en-US" w:eastAsia="zh-CN"/>
              </w:rPr>
            </w:pPr>
            <w:r>
              <w:rPr>
                <w:rFonts w:hint="eastAsia" w:ascii="宋体" w:hAnsi="宋体"/>
                <w:b/>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0"/>
                <w:szCs w:val="20"/>
              </w:rPr>
            </w:pPr>
            <w:r>
              <w:rPr>
                <w:rFonts w:hint="eastAsia" w:ascii="宋体" w:hAnsi="宋体"/>
                <w:b/>
                <w:sz w:val="20"/>
                <w:szCs w:val="20"/>
              </w:rPr>
              <w:t>职业健康安全设施：</w:t>
            </w:r>
          </w:p>
          <w:p>
            <w:pPr>
              <w:spacing w:line="240" w:lineRule="exact"/>
              <w:ind w:firstLine="400" w:firstLineChars="200"/>
              <w:rPr>
                <w:rFonts w:ascii="宋体" w:hAnsi="宋体"/>
                <w:b/>
                <w:sz w:val="21"/>
                <w:szCs w:val="21"/>
              </w:rPr>
            </w:pPr>
            <w:r>
              <w:rPr>
                <w:rFonts w:hint="eastAsia" w:ascii="宋体" w:hAnsi="宋体"/>
                <w:sz w:val="20"/>
                <w:szCs w:val="20"/>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80" w:firstLineChars="200"/>
              <w:rPr>
                <w:rFonts w:hint="eastAsia" w:ascii="宋体" w:hAnsi="宋体" w:cs="宋体"/>
                <w:szCs w:val="21"/>
              </w:rPr>
            </w:pPr>
            <w:r>
              <w:rPr>
                <w:rFonts w:hint="eastAsia" w:ascii="宋体" w:hAnsi="宋体" w:cs="宋体"/>
                <w:szCs w:val="21"/>
              </w:rPr>
              <w:t>最高管理者组织制定了方针：</w:t>
            </w:r>
          </w:p>
          <w:p>
            <w:pPr>
              <w:rPr>
                <w:rFonts w:hint="eastAsia"/>
              </w:rPr>
            </w:pPr>
            <w:r>
              <w:rPr>
                <w:rFonts w:hint="eastAsia"/>
              </w:rPr>
              <w:t>争创行业先进，造就精品工程；</w:t>
            </w:r>
          </w:p>
          <w:p>
            <w:pPr>
              <w:rPr>
                <w:rFonts w:hint="eastAsia"/>
              </w:rPr>
            </w:pPr>
            <w:r>
              <w:rPr>
                <w:rFonts w:hint="eastAsia"/>
              </w:rPr>
              <w:t>服务社会民生，保证顾客满意；</w:t>
            </w:r>
          </w:p>
          <w:p>
            <w:pPr>
              <w:rPr>
                <w:rFonts w:hint="eastAsia"/>
              </w:rPr>
            </w:pPr>
            <w:r>
              <w:rPr>
                <w:rFonts w:hint="eastAsia"/>
              </w:rPr>
              <w:t>遵守法律法规，环保健康安全；</w:t>
            </w:r>
          </w:p>
          <w:p>
            <w:pPr>
              <w:rPr>
                <w:rFonts w:hint="eastAsia"/>
              </w:rPr>
            </w:pPr>
            <w:r>
              <w:rPr>
                <w:rFonts w:hint="eastAsia"/>
              </w:rPr>
              <w:t>全员协商沟通，防止人身伤害与健康损害。</w:t>
            </w:r>
          </w:p>
          <w:p>
            <w:pPr>
              <w:spacing w:line="300" w:lineRule="exact"/>
              <w:ind w:left="1"/>
              <w:rPr>
                <w:rFonts w:hint="eastAsia" w:ascii="宋体" w:hAnsi="宋体"/>
                <w:b/>
                <w:sz w:val="21"/>
                <w:szCs w:val="21"/>
              </w:rPr>
            </w:pPr>
            <w:r>
              <w:rPr>
                <w:rFonts w:hint="eastAsia" w:ascii="宋体" w:hAnsi="宋体" w:cs="宋体"/>
                <w:szCs w:val="21"/>
              </w:rPr>
              <w:t>现行的方针在手册有专门的释议，具备适宜性。通过会议、张贴等方式进行传达宣贯，管理绩效表明其方针能够通过管理体系加以有效实施、实现及动态管理。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rFonts w:hint="eastAsia"/>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w:t>
            </w:r>
            <w:r>
              <w:rPr>
                <w:rFonts w:hint="eastAsia" w:ascii="宋体" w:hAnsi="宋体" w:cs="Arial"/>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80" w:firstLineChars="200"/>
              <w:rPr>
                <w:rFonts w:hint="eastAsia" w:ascii="宋体" w:hAnsi="宋体" w:cs="宋体"/>
                <w:color w:val="000000"/>
                <w:szCs w:val="21"/>
              </w:rPr>
            </w:pPr>
          </w:p>
          <w:p>
            <w:pPr>
              <w:spacing w:line="240" w:lineRule="exact"/>
              <w:rPr>
                <w:rFonts w:ascii="宋体" w:hAnsi="宋体"/>
                <w:b/>
                <w:sz w:val="21"/>
                <w:szCs w:val="21"/>
              </w:rPr>
            </w:pPr>
            <w:r>
              <w:rPr>
                <w:rFonts w:hint="eastAsia"/>
              </w:rPr>
              <w:t>提供《</w:t>
            </w:r>
            <w:r>
              <w:rPr>
                <w:rFonts w:hint="eastAsia"/>
                <w:lang w:val="en-US" w:eastAsia="zh-CN"/>
              </w:rPr>
              <w:t>销售</w:t>
            </w:r>
            <w:r>
              <w:rPr>
                <w:rFonts w:hint="eastAsia"/>
              </w:rPr>
              <w:t>程确认记录表》，确认内容包括：服务方法和程序、设备工具的认可、人员资格的鉴定、记录要求等。评审结论：根据公司实际情况，</w:t>
            </w:r>
            <w:r>
              <w:rPr>
                <w:rFonts w:hint="eastAsia"/>
                <w:lang w:val="en-US" w:eastAsia="zh-CN"/>
              </w:rPr>
              <w:t>销售</w:t>
            </w:r>
            <w:r>
              <w:rPr>
                <w:rFonts w:hint="eastAsia"/>
              </w:rPr>
              <w:t>实现过程按照公司质量控制管理制度进行，过程所用基础设施均处在完好状态，从业人员经过培训，胜任本职工作，可以提供满足顾客要求、法律法规要求的服务。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ind w:firstLine="480" w:firstLineChars="200"/>
              <w:rPr>
                <w:rFonts w:ascii="宋体" w:hAnsi="宋体" w:cs="宋体"/>
                <w:color w:val="000000"/>
                <w:szCs w:val="21"/>
              </w:rPr>
            </w:pPr>
            <w:r>
              <w:rPr>
                <w:rFonts w:hint="eastAsia" w:ascii="宋体" w:hAnsi="宋体" w:cs="宋体"/>
                <w:color w:val="000000"/>
                <w:szCs w:val="21"/>
              </w:rPr>
              <w:t>制定并实施了工程检验控制规定，规定了公司各管理层次和检测部门在各阶段对产品服务质量实施检查与验收的管理要求。内容基本具备全面性、系统性及可操作性。质量检查与验收均在工程交工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Theme="minorEastAsia" w:hAnsiTheme="minorEastAsia" w:eastAsiaTheme="minorEastAsia"/>
                <w:bCs/>
                <w:iCs/>
              </w:rPr>
            </w:pPr>
          </w:p>
          <w:p>
            <w:pPr>
              <w:spacing w:line="240" w:lineRule="exact"/>
              <w:rPr>
                <w:rFonts w:ascii="宋体" w:hAnsi="宋体"/>
                <w:b/>
                <w:sz w:val="21"/>
                <w:szCs w:val="21"/>
              </w:rPr>
            </w:pPr>
            <w:r>
              <w:rPr>
                <w:rFonts w:hint="eastAsia" w:asciiTheme="minorEastAsia" w:hAnsiTheme="minorEastAsia" w:eastAsiaTheme="minorEastAsia"/>
                <w:bCs/>
                <w:iCs/>
              </w:rPr>
              <w:t>组织重要环境因素为1）固废（含危废）排放；</w:t>
            </w:r>
            <w:r>
              <w:rPr>
                <w:rFonts w:asciiTheme="minorEastAsia" w:hAnsiTheme="minorEastAsia" w:eastAsiaTheme="minorEastAsia"/>
                <w:bCs/>
                <w:iCs/>
              </w:rPr>
              <w:t>2</w:t>
            </w:r>
            <w:r>
              <w:rPr>
                <w:rFonts w:hint="eastAsia" w:asciiTheme="minorEastAsia" w:hAnsiTheme="minorEastAsia" w:eastAsiaTheme="minorEastAsia"/>
                <w:bCs/>
                <w:iCs/>
              </w:rPr>
              <w:t>）火灾爆炸等，对的风险和机遇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480" w:firstLineChars="20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触电、物体打击、高处坠落、交通伤害等，与之相关的过程有安装及销售过程、信息处理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rPr>
              <w:t>组织识别了紧急情况，应急准备和响应为潜在火灾、触电、物体打击、机械伤害、高处坠落、交通伤害等等，识别合理、有效。应急物资配备有灭火器和消防栓，编制有应急预案，并组织了演练，未对应急预案演练进行评价（开具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ind w:firstLine="480" w:firstLineChars="200"/>
              <w:rPr>
                <w:rFonts w:ascii="宋体" w:hAnsi="宋体"/>
                <w:b/>
                <w:sz w:val="21"/>
                <w:szCs w:val="21"/>
              </w:rPr>
            </w:pPr>
            <w:r>
              <w:rPr>
                <w:rFonts w:hint="eastAsia" w:asciiTheme="minorEastAsia" w:hAnsiTheme="minorEastAsia" w:eastAsiaTheme="minorEastAsia"/>
                <w:bCs/>
                <w:iCs/>
              </w:rPr>
              <w:t>暂时无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pPr>
              <w:spacing w:line="240" w:lineRule="exact"/>
              <w:ind w:firstLine="400" w:firstLineChars="200"/>
              <w:rPr>
                <w:rFonts w:ascii="宋体" w:hAnsi="宋体"/>
                <w:b/>
                <w:sz w:val="21"/>
                <w:szCs w:val="21"/>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b/>
                <w:sz w:val="21"/>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2019年8月实施，满意度评价9</w:t>
            </w:r>
            <w:r>
              <w:rPr>
                <w:rFonts w:ascii="宋体" w:hAnsi="宋体" w:cs="宋体"/>
                <w:szCs w:val="21"/>
              </w:rPr>
              <w:t>7</w:t>
            </w:r>
            <w:r>
              <w:rPr>
                <w:rFonts w:hint="eastAsia" w:ascii="宋体" w:hAnsi="宋体" w:cs="宋体"/>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80" w:firstLineChars="200"/>
              <w:rPr>
                <w:rFonts w:ascii="宋体" w:hAnsi="宋体"/>
                <w:szCs w:val="21"/>
              </w:rPr>
            </w:pPr>
            <w:r>
              <w:rPr>
                <w:rFonts w:hint="eastAsia" w:ascii="宋体" w:hAnsi="宋体"/>
                <w:szCs w:val="21"/>
              </w:rPr>
              <w:t>建立有《内部审核控制程序》，规定了内审频次一年一次，内审时间：</w:t>
            </w:r>
            <w:r>
              <w:rPr>
                <w:rFonts w:hint="eastAsia" w:ascii="宋体" w:hAnsi="宋体"/>
                <w:b/>
                <w:kern w:val="0"/>
                <w:sz w:val="24"/>
                <w:lang w:eastAsia="zh-CN"/>
              </w:rPr>
              <w:t>2020</w:t>
            </w:r>
            <w:r>
              <w:rPr>
                <w:rFonts w:hint="eastAsia" w:ascii="宋体" w:hAnsi="宋体"/>
                <w:b/>
                <w:kern w:val="0"/>
                <w:sz w:val="24"/>
              </w:rPr>
              <w:t>年</w:t>
            </w:r>
            <w:r>
              <w:rPr>
                <w:rFonts w:ascii="宋体" w:hAnsi="宋体"/>
                <w:b/>
                <w:kern w:val="0"/>
                <w:sz w:val="24"/>
              </w:rPr>
              <w:t>9</w:t>
            </w:r>
            <w:r>
              <w:rPr>
                <w:rFonts w:hint="eastAsia" w:ascii="宋体" w:hAnsi="宋体"/>
                <w:b/>
                <w:kern w:val="0"/>
                <w:sz w:val="24"/>
              </w:rPr>
              <w:t>月</w:t>
            </w:r>
            <w:r>
              <w:rPr>
                <w:rFonts w:hint="eastAsia" w:ascii="宋体" w:hAnsi="宋体"/>
                <w:b/>
                <w:kern w:val="0"/>
                <w:sz w:val="24"/>
                <w:lang w:val="en-US" w:eastAsia="zh-CN"/>
              </w:rPr>
              <w:t>8</w:t>
            </w:r>
            <w:r>
              <w:rPr>
                <w:rFonts w:hint="eastAsia" w:ascii="宋体" w:hAnsi="宋体"/>
                <w:b/>
                <w:kern w:val="0"/>
                <w:sz w:val="24"/>
              </w:rPr>
              <w:t>日</w:t>
            </w:r>
            <w:r>
              <w:rPr>
                <w:rFonts w:hint="eastAsia" w:ascii="宋体" w:hAnsi="宋体"/>
                <w:szCs w:val="21"/>
              </w:rPr>
              <w:t>，拟定了审核实施表，明确了内审范围，内审人员经培训合格上岗，能力满足要求。开具一个不符合项报告，发生部门业务部。</w:t>
            </w:r>
          </w:p>
          <w:p>
            <w:pPr>
              <w:spacing w:line="240" w:lineRule="exact"/>
              <w:rPr>
                <w:rFonts w:ascii="宋体" w:hAnsi="宋体"/>
                <w:b/>
                <w:sz w:val="21"/>
                <w:szCs w:val="21"/>
              </w:rPr>
            </w:pP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管理评审频次为一年一次、本次管理评审于由总经理刘凯主持完成、提供主要输入材料有各部门总结，输入信息基本充分和满足要求。输出见“管理评审报告”,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240" w:lineRule="exact"/>
              <w:ind w:firstLine="400" w:firstLineChars="200"/>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b/>
                <w:color w:val="000000" w:themeColor="text1"/>
                <w:sz w:val="20"/>
                <w:szCs w:val="20"/>
              </w:rPr>
              <w:t xml:space="preserve"> </w:t>
            </w:r>
          </w:p>
          <w:p>
            <w:pPr>
              <w:spacing w:line="240" w:lineRule="exact"/>
              <w:ind w:firstLine="400" w:firstLineChars="200"/>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240" w:lineRule="exact"/>
              <w:ind w:firstLine="400" w:firstLineChars="200"/>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rFonts w:ascii="宋体" w:hAnsi="宋体"/>
                <w:b/>
                <w:sz w:val="21"/>
                <w:szCs w:val="21"/>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ind w:leftChars="-50"/>
              <w:rPr>
                <w:rFonts w:hint="eastAsia" w:ascii="宋体" w:hAnsi="宋体"/>
                <w:b/>
                <w:sz w:val="21"/>
                <w:szCs w:val="21"/>
                <w:lang w:val="en-US" w:eastAsia="zh-CN"/>
              </w:rPr>
            </w:pPr>
            <w:r>
              <w:rPr>
                <w:rFonts w:hint="eastAsia" w:ascii="宋体" w:hAnsi="宋体"/>
                <w:b/>
                <w:sz w:val="21"/>
                <w:szCs w:val="21"/>
                <w:lang w:val="en-US" w:eastAsia="zh-CN"/>
              </w:rPr>
              <w:t>初审不符合：</w:t>
            </w:r>
          </w:p>
          <w:p>
            <w:pPr>
              <w:numPr>
                <w:ilvl w:val="0"/>
                <w:numId w:val="0"/>
              </w:numPr>
              <w:spacing w:line="240" w:lineRule="exact"/>
              <w:ind w:leftChars="-50"/>
              <w:rPr>
                <w:rFonts w:hint="default" w:ascii="宋体" w:hAnsi="宋体"/>
                <w:b/>
                <w:sz w:val="21"/>
                <w:szCs w:val="21"/>
                <w:lang w:val="en-US" w:eastAsia="zh-CN"/>
              </w:rPr>
            </w:pPr>
            <w:r>
              <w:rPr>
                <w:rFonts w:hint="eastAsia" w:ascii="宋体" w:hAnsi="宋体"/>
                <w:b/>
                <w:sz w:val="21"/>
                <w:szCs w:val="21"/>
                <w:lang w:val="en-US" w:eastAsia="zh-CN"/>
              </w:rPr>
              <w:t>①综合部未能提供对应急预案演练后进行评审的证据，此次审核应急演练进行了评审，整改有效</w:t>
            </w:r>
          </w:p>
          <w:p>
            <w:pPr>
              <w:numPr>
                <w:ilvl w:val="0"/>
                <w:numId w:val="0"/>
              </w:numPr>
              <w:spacing w:line="240" w:lineRule="exact"/>
              <w:ind w:leftChars="-50"/>
              <w:rPr>
                <w:rFonts w:hint="default" w:ascii="宋体" w:hAnsi="宋体"/>
                <w:b/>
                <w:sz w:val="21"/>
                <w:szCs w:val="21"/>
                <w:lang w:val="en-US" w:eastAsia="zh-CN"/>
              </w:rPr>
            </w:pPr>
            <w:r>
              <w:rPr>
                <w:rFonts w:hint="eastAsia" w:ascii="宋体" w:hAnsi="宋体"/>
                <w:b/>
                <w:sz w:val="21"/>
                <w:szCs w:val="21"/>
                <w:lang w:val="en-US" w:eastAsia="zh-CN"/>
              </w:rPr>
              <w:t>②业务部未能提供对销售服务过程进行确认的证据，此次审核业务部对销售过程进行了确认，提供有确认记录，整改有效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5"/>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000000"/>
                <w:szCs w:val="21"/>
              </w:rPr>
              <w:t>北京天城环保科技有限公司</w:t>
            </w:r>
            <w:r>
              <w:rPr>
                <w:rFonts w:hint="eastAsia"/>
                <w:color w:val="auto"/>
                <w:kern w:val="2"/>
                <w:sz w:val="21"/>
                <w:szCs w:val="21"/>
                <w:lang w:val="en-GB"/>
              </w:rPr>
              <w:t>的</w:t>
            </w:r>
          </w:p>
          <w:p>
            <w:pPr>
              <w:pStyle w:val="15"/>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bookmarkStart w:id="24" w:name="_GoBack"/>
      <w:bookmarkEnd w:id="24"/>
    </w:p>
    <w:p>
      <w:pPr>
        <w:snapToGrid w:val="0"/>
        <w:spacing w:before="163" w:beforeLines="50" w:line="320" w:lineRule="exact"/>
        <w:ind w:firstLine="600" w:firstLineChars="250"/>
        <w:rPr>
          <w:b/>
          <w:sz w:val="21"/>
        </w:rPr>
      </w:pPr>
      <w:r>
        <w:drawing>
          <wp:anchor distT="0" distB="0" distL="114300" distR="114300" simplePos="0" relativeHeight="251669504" behindDoc="1" locked="0" layoutInCell="1" allowOverlap="1">
            <wp:simplePos x="0" y="0"/>
            <wp:positionH relativeFrom="column">
              <wp:posOffset>1611630</wp:posOffset>
            </wp:positionH>
            <wp:positionV relativeFrom="paragraph">
              <wp:posOffset>111760</wp:posOffset>
            </wp:positionV>
            <wp:extent cx="815975" cy="379095"/>
            <wp:effectExtent l="0" t="0" r="952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15975" cy="37909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2021.1.21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25654"/>
    <w:multiLevelType w:val="singleLevel"/>
    <w:tmpl w:val="82A25654"/>
    <w:lvl w:ilvl="0" w:tentative="0">
      <w:start w:val="2"/>
      <w:numFmt w:val="decimal"/>
      <w:lvlText w:val="%1."/>
      <w:lvlJc w:val="left"/>
      <w:pPr>
        <w:tabs>
          <w:tab w:val="left" w:pos="312"/>
        </w:tabs>
      </w:pPr>
    </w:lvl>
  </w:abstractNum>
  <w:abstractNum w:abstractNumId="1">
    <w:nsid w:val="F2ABBD20"/>
    <w:multiLevelType w:val="singleLevel"/>
    <w:tmpl w:val="F2ABBD20"/>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A31525A"/>
    <w:multiLevelType w:val="singleLevel"/>
    <w:tmpl w:val="6A31525A"/>
    <w:lvl w:ilvl="0" w:tentative="0">
      <w:start w:val="8"/>
      <w:numFmt w:val="decimal"/>
      <w:suff w:val="space"/>
      <w:lvlText w:val="%1."/>
      <w:lvlJc w:val="left"/>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B92390"/>
    <w:rsid w:val="4AA5158F"/>
    <w:rsid w:val="76271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2021-01-22T16:55:54Z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