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临沂正合热能科技有限公司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杨化伟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17.07.01</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临沂正合热能科技有限公司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山东省临沂市临沭县青云镇赵窝村东南240米</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276712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9" w:name="办公地址"/>
            <w:r>
              <w:rPr>
                <w:rFonts w:ascii="宋体" w:hAnsi="宋体"/>
                <w:b/>
                <w:color w:val="000000" w:themeColor="text1"/>
                <w:sz w:val="20"/>
                <w:szCs w:val="20"/>
              </w:rPr>
              <w:t>山东省临沂市临沭县青云镇赵窝村东南240米</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276712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刘金生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0539-6388999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刘金生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刘金生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小型锅炉和常压热水锅炉的生产（需许可要求的除外）</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17.07.01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管理体系建立策划、资金提供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办公室</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管理体系的推进、文件管理、培训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生产部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负责产品实现的实</w:t>
            </w:r>
            <w:bookmarkStart w:id="22" w:name="_GoBack"/>
            <w:bookmarkEnd w:id="22"/>
            <w:r>
              <w:rPr>
                <w:rFonts w:hint="eastAsia" w:ascii="宋体" w:hAnsi="宋体"/>
                <w:b w:val="0"/>
                <w:bCs/>
                <w:color w:val="000000" w:themeColor="text1"/>
                <w:spacing w:val="-20"/>
                <w:sz w:val="20"/>
                <w:szCs w:val="20"/>
                <w:u w:val="single"/>
                <w:lang w:val="en-US" w:eastAsia="zh-CN"/>
              </w:rPr>
              <w:t>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供销部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外部供方的控制、销售过程的控制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41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417" w:type="dxa"/>
          </w:tcPr>
          <w:p>
            <w:pPr>
              <w:rPr>
                <w:b/>
                <w:color w:val="000000" w:themeColor="text1"/>
                <w:sz w:val="20"/>
                <w:szCs w:val="20"/>
              </w:rPr>
            </w:pPr>
            <w:r>
              <w:rPr>
                <w:rFonts w:hint="eastAsia"/>
                <w:b/>
                <w:color w:val="000000" w:themeColor="text1"/>
                <w:sz w:val="20"/>
                <w:szCs w:val="20"/>
              </w:rPr>
              <w:t>规格</w:t>
            </w:r>
          </w:p>
        </w:tc>
        <w:tc>
          <w:tcPr>
            <w:tcW w:w="396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小型锅炉及常温锅炉</w:t>
            </w:r>
          </w:p>
        </w:tc>
        <w:tc>
          <w:tcPr>
            <w:tcW w:w="2519" w:type="dxa"/>
          </w:tcPr>
          <w:p>
            <w:pPr>
              <w:rPr>
                <w:b/>
                <w:color w:val="000000" w:themeColor="text1"/>
                <w:sz w:val="20"/>
                <w:szCs w:val="20"/>
              </w:rPr>
            </w:pPr>
          </w:p>
        </w:tc>
        <w:tc>
          <w:tcPr>
            <w:tcW w:w="1417" w:type="dxa"/>
          </w:tcPr>
          <w:p>
            <w:pPr>
              <w:rPr>
                <w:b/>
                <w:color w:val="000000" w:themeColor="text1"/>
                <w:sz w:val="20"/>
                <w:szCs w:val="20"/>
              </w:rPr>
            </w:pPr>
          </w:p>
        </w:tc>
        <w:tc>
          <w:tcPr>
            <w:tcW w:w="3969" w:type="dxa"/>
          </w:tcPr>
          <w:p>
            <w:pPr>
              <w:rPr>
                <w:b/>
                <w:color w:val="000000" w:themeColor="text1"/>
                <w:sz w:val="20"/>
                <w:szCs w:val="20"/>
              </w:rPr>
            </w:pPr>
            <w:r>
              <w:rPr>
                <w:rFonts w:hint="eastAsia"/>
                <w:b w:val="0"/>
                <w:bCs/>
                <w:sz w:val="20"/>
                <w:lang w:val="en-US" w:eastAsia="zh-CN"/>
              </w:rPr>
              <w:t>GB7985-2002小型和常压锅炉的技术要求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417" w:type="dxa"/>
          </w:tcPr>
          <w:p>
            <w:pPr>
              <w:rPr>
                <w:b/>
                <w:color w:val="000000" w:themeColor="text1"/>
                <w:sz w:val="20"/>
                <w:szCs w:val="20"/>
              </w:rPr>
            </w:pPr>
          </w:p>
        </w:tc>
        <w:tc>
          <w:tcPr>
            <w:tcW w:w="396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417" w:type="dxa"/>
          </w:tcPr>
          <w:p>
            <w:pPr>
              <w:rPr>
                <w:b/>
                <w:color w:val="000000" w:themeColor="text1"/>
                <w:sz w:val="20"/>
                <w:szCs w:val="20"/>
              </w:rPr>
            </w:pPr>
          </w:p>
        </w:tc>
        <w:tc>
          <w:tcPr>
            <w:tcW w:w="396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417" w:type="dxa"/>
          </w:tcPr>
          <w:p>
            <w:pPr>
              <w:rPr>
                <w:b/>
                <w:color w:val="000000" w:themeColor="text1"/>
                <w:sz w:val="20"/>
                <w:szCs w:val="20"/>
              </w:rPr>
            </w:pPr>
          </w:p>
        </w:tc>
        <w:tc>
          <w:tcPr>
            <w:tcW w:w="396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02" w:firstLineChars="200"/>
              <w:jc w:val="both"/>
              <w:textAlignment w:val="auto"/>
              <w:outlineLvl w:val="9"/>
              <w:rPr>
                <w:rFonts w:hint="eastAsia" w:ascii="楷体" w:hAnsi="楷体" w:eastAsia="楷体" w:cs="楷体"/>
                <w:b w:val="0"/>
                <w:bCs/>
                <w:szCs w:val="21"/>
                <w:highlight w:val="none"/>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r>
              <w:rPr>
                <w:rFonts w:hint="eastAsia" w:ascii="楷体" w:hAnsi="楷体" w:eastAsia="楷体" w:cs="楷体"/>
                <w:b w:val="0"/>
                <w:bCs/>
                <w:szCs w:val="21"/>
                <w:highlight w:val="none"/>
                <w:lang w:val="en-US" w:eastAsia="zh-CN"/>
              </w:rPr>
              <w:t>临沂正合热能科技有限公司（原临沭县正合锅炉制造有限公司）位于山东省临沂市级优先发展重点镇临沭县青云镇工业园区，投资1.14亿，占地面积近6000平方米，现有职工20余人，其中技术人员2余人，是临沭县集生产、销售为一体的环保锅炉加工制造企业，地理位置优越，距长深高速临沭北出口仅300米，京沪长深连接公路直通临沂、京沪高速，交通十分便利。公司创始人从事锅炉行业10余年，拥有丰富的生产、销售及管理经验。</w:t>
            </w:r>
          </w:p>
          <w:p>
            <w:pPr>
              <w:spacing w:line="240" w:lineRule="exact"/>
              <w:rPr>
                <w:rFonts w:hint="eastAsia" w:eastAsia="宋体"/>
                <w:b/>
                <w:color w:val="000000" w:themeColor="text1"/>
                <w:sz w:val="20"/>
                <w:szCs w:val="20"/>
                <w:lang w:eastAsia="zh-CN"/>
              </w:rPr>
            </w:pPr>
            <w:r>
              <w:rPr>
                <w:rFonts w:hint="eastAsia" w:ascii="楷体" w:hAnsi="楷体" w:eastAsia="楷体" w:cs="楷体"/>
                <w:b w:val="0"/>
                <w:bCs/>
                <w:szCs w:val="21"/>
                <w:highlight w:val="none"/>
                <w:lang w:val="en-US" w:eastAsia="zh-CN"/>
              </w:rPr>
              <w:t>企业面临的风险是产品质量问题和国家对于环境保护的政策。对策：进一步提高产品质量，保证产品的质量安全，关注国家对于环境保护政策对于锅炉的影响，积极调整产品结构，使公司的产品符合国家环保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02" w:firstLineChars="200"/>
              <w:jc w:val="both"/>
              <w:textAlignment w:val="auto"/>
              <w:outlineLvl w:val="9"/>
              <w:rPr>
                <w:rFonts w:hint="eastAsia" w:ascii="楷体" w:hAnsi="楷体" w:eastAsia="楷体" w:cs="楷体"/>
                <w:b w:val="0"/>
                <w:bCs/>
                <w:szCs w:val="21"/>
                <w:highlight w:val="none"/>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ascii="楷体" w:hAnsi="楷体" w:eastAsia="楷体" w:cs="楷体"/>
                <w:b w:val="0"/>
                <w:bCs/>
                <w:szCs w:val="21"/>
                <w:highlight w:val="none"/>
                <w:lang w:val="en-US" w:eastAsia="zh-CN"/>
              </w:rPr>
              <w:t>公司的相关方为：顾客、供方、员工、质监局；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风险和机遇的识别及应对措施；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顾客：产品质量不合格，造成经济损失，损害企业声誉；</w:t>
            </w:r>
          </w:p>
          <w:p>
            <w:p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应对措施：符合双方签署的技术协议要求，项目验收合格；</w:t>
            </w:r>
          </w:p>
          <w:p>
            <w:pPr>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产品和服务质量符合性、安全性和满意度。</w:t>
            </w:r>
          </w:p>
          <w:p>
            <w:pPr>
              <w:numPr>
                <w:ilvl w:val="0"/>
                <w:numId w:val="0"/>
              </w:num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供方：1.供应渠道单一，有供货不及时的风险；</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2.质量不稳定，影响最终产品质量；</w:t>
            </w:r>
          </w:p>
          <w:p>
            <w:pPr>
              <w:numPr>
                <w:ilvl w:val="0"/>
                <w:numId w:val="0"/>
              </w:numPr>
              <w:ind w:firstLine="630" w:firstLineChars="300"/>
              <w:jc w:val="left"/>
              <w:rPr>
                <w:rFonts w:hint="eastAsia" w:ascii="宋体" w:hAnsi="宋体" w:cs="宋体"/>
                <w:sz w:val="24"/>
                <w:szCs w:val="24"/>
                <w:lang w:val="en-US" w:eastAsia="zh-CN"/>
              </w:rPr>
            </w:pPr>
            <w:r>
              <w:rPr>
                <w:rFonts w:hint="eastAsia" w:ascii="楷体" w:hAnsi="楷体" w:eastAsia="楷体" w:cs="楷体"/>
                <w:b w:val="0"/>
                <w:bCs/>
                <w:szCs w:val="21"/>
                <w:highlight w:val="none"/>
                <w:lang w:val="en-US" w:eastAsia="zh-CN"/>
              </w:rPr>
              <w:t>3.原材料上涨，挤压利润空间</w:t>
            </w:r>
            <w:r>
              <w:rPr>
                <w:rFonts w:hint="eastAsia" w:ascii="宋体" w:hAnsi="宋体" w:cs="宋体"/>
                <w:sz w:val="24"/>
                <w:szCs w:val="24"/>
                <w:lang w:val="en-US" w:eastAsia="zh-CN"/>
              </w:rPr>
              <w:t>。</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应对措施：希望增加采购量。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员工：员工能力不足造成工作效率下降和产品和服务质量下降；人工成本上涨，挤压利润空间。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控制措施：培训需求、工资增长。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地方质监局：不满足法律法规要求造成企业停业整顿和生存危机。</w:t>
            </w:r>
          </w:p>
          <w:p>
            <w:pPr>
              <w:spacing w:line="240" w:lineRule="exact"/>
              <w:rPr>
                <w:rFonts w:hint="eastAsia" w:eastAsia="宋体"/>
                <w:b/>
                <w:color w:val="000000" w:themeColor="text1"/>
                <w:sz w:val="20"/>
                <w:szCs w:val="20"/>
                <w:lang w:eastAsia="zh-CN"/>
              </w:rPr>
            </w:pPr>
            <w:r>
              <w:rPr>
                <w:rFonts w:hint="eastAsia" w:ascii="楷体" w:hAnsi="楷体" w:eastAsia="楷体" w:cs="楷体"/>
                <w:b w:val="0"/>
                <w:bCs/>
                <w:szCs w:val="21"/>
                <w:highlight w:val="none"/>
                <w:lang w:val="en-US" w:eastAsia="zh-CN"/>
              </w:rPr>
              <w:t>控制措施：1、建立、健全质量管理体系制度，实施质量管理体系运行；2、接受监管；3、随时关注下达的政策、文件，并宣贯执行。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质量方针：</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质量第一,客户至上, 持续稳定地提供优质产品和服务。</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 xml:space="preserve"> 其内涵是：</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本企业员工严格遵守质量管理体系的要求、遵守工艺规程,实施过程控制,确保所生产的产品满足顾客和法律法规的要求,以服务社会；以顾客为中心，充分发挥科学管理优势，不断创新，积极改进，求得我企业的不断发展；人是质量管理体系的一个重要因素，整个质量管理过程都需要人来完成，本企业非常注重人才培养，以求用高素质的人才，创造出高质量的产品。</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楷体" w:hAnsi="楷体" w:eastAsia="楷体" w:cs="楷体"/>
                <w:b w:val="0"/>
                <w:bCs/>
                <w:szCs w:val="21"/>
                <w:highlight w:val="none"/>
                <w:lang w:val="en-US" w:eastAsia="zh-CN"/>
              </w:rPr>
            </w:pPr>
            <w:r>
              <w:rPr>
                <w:b/>
                <w:color w:val="000000" w:themeColor="text1"/>
              </w:rPr>
              <w:t>4、</w:t>
            </w:r>
            <w:r>
              <w:rPr>
                <w:rFonts w:hint="eastAsia"/>
                <w:b/>
                <w:color w:val="000000" w:themeColor="text1"/>
              </w:rPr>
              <w:t>风险识别与控制策划（QMS）</w:t>
            </w:r>
            <w:r>
              <w:rPr>
                <w:rFonts w:hint="eastAsia" w:ascii="楷体" w:hAnsi="楷体" w:eastAsia="楷体" w:cs="楷体"/>
                <w:b w:val="0"/>
                <w:bCs/>
                <w:szCs w:val="21"/>
                <w:highlight w:val="none"/>
                <w:lang w:val="en-US" w:eastAsia="zh-CN"/>
              </w:rPr>
              <w:t>风险和机遇的识别及应对措施；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顾客：产品质量不合格，造成经济损失，损害企业声誉；</w:t>
            </w:r>
          </w:p>
          <w:p>
            <w:p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应对措施：符合双方签署的技术协议要求，项目验收合格；</w:t>
            </w:r>
          </w:p>
          <w:p>
            <w:pPr>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产品和服务质量符合性、安全性和满意度。</w:t>
            </w:r>
          </w:p>
          <w:p>
            <w:pPr>
              <w:numPr>
                <w:ilvl w:val="0"/>
                <w:numId w:val="0"/>
              </w:numPr>
              <w:ind w:firstLine="420" w:firstLineChars="2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供方：1.供应渠道单一，有供货不及时的风险；</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2.质量不稳定，影响最终产品质量；</w:t>
            </w:r>
          </w:p>
          <w:p>
            <w:pPr>
              <w:numPr>
                <w:ilvl w:val="0"/>
                <w:numId w:val="0"/>
              </w:numPr>
              <w:ind w:firstLine="630" w:firstLineChars="300"/>
              <w:jc w:val="left"/>
              <w:rPr>
                <w:rFonts w:hint="eastAsia" w:ascii="宋体" w:hAnsi="宋体" w:cs="宋体"/>
                <w:sz w:val="24"/>
                <w:szCs w:val="24"/>
                <w:lang w:val="en-US" w:eastAsia="zh-CN"/>
              </w:rPr>
            </w:pPr>
            <w:r>
              <w:rPr>
                <w:rFonts w:hint="eastAsia" w:ascii="楷体" w:hAnsi="楷体" w:eastAsia="楷体" w:cs="楷体"/>
                <w:b w:val="0"/>
                <w:bCs/>
                <w:szCs w:val="21"/>
                <w:highlight w:val="none"/>
                <w:lang w:val="en-US" w:eastAsia="zh-CN"/>
              </w:rPr>
              <w:t>3.原材料上涨，挤压利润空间</w:t>
            </w:r>
            <w:r>
              <w:rPr>
                <w:rFonts w:hint="eastAsia" w:ascii="宋体" w:hAnsi="宋体" w:cs="宋体"/>
                <w:sz w:val="24"/>
                <w:szCs w:val="24"/>
                <w:lang w:val="en-US" w:eastAsia="zh-CN"/>
              </w:rPr>
              <w:t>。</w:t>
            </w:r>
          </w:p>
          <w:p>
            <w:pPr>
              <w:numPr>
                <w:ilvl w:val="0"/>
                <w:numId w:val="0"/>
              </w:numPr>
              <w:ind w:firstLine="630" w:firstLineChars="300"/>
              <w:jc w:val="lef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应对措施：希望增加采购量。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员工：员工能力不足造成工作效率下降和产品和服务质量下降；人工成本上涨，挤压利润空间。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控制措施：培训需求、工资增长。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地方质监局：不满足法律法规要求造成企业停业整顿和生存危机。</w:t>
            </w:r>
          </w:p>
          <w:p>
            <w:pPr>
              <w:spacing w:line="240" w:lineRule="exact"/>
              <w:rPr>
                <w:b/>
                <w:color w:val="000000" w:themeColor="text1"/>
              </w:rPr>
            </w:pPr>
            <w:r>
              <w:rPr>
                <w:rFonts w:hint="eastAsia" w:ascii="楷体" w:hAnsi="楷体" w:eastAsia="楷体" w:cs="楷体"/>
                <w:b w:val="0"/>
                <w:bCs/>
                <w:szCs w:val="21"/>
                <w:highlight w:val="none"/>
                <w:lang w:val="en-US" w:eastAsia="zh-CN"/>
              </w:rPr>
              <w:t>控制措施：1、建立、健全质量管理体系制度，实施质量管理体系运行；2、接受监管；3、随时关注下达的政策、文件，并宣贯执行。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b w:val="0"/>
                <w:bCs/>
                <w:sz w:val="20"/>
                <w:szCs w:val="22"/>
              </w:rPr>
              <w:t>采购</w:t>
            </w:r>
            <w:r>
              <w:rPr>
                <w:rFonts w:hint="eastAsia"/>
                <w:b w:val="0"/>
                <w:bCs/>
                <w:sz w:val="20"/>
                <w:szCs w:val="22"/>
                <w:lang w:val="en-US" w:eastAsia="zh-CN"/>
              </w:rPr>
              <w:t>原材料</w:t>
            </w:r>
            <w:r>
              <w:rPr>
                <w:rFonts w:hint="eastAsia"/>
                <w:b w:val="0"/>
                <w:bCs/>
                <w:sz w:val="20"/>
                <w:szCs w:val="22"/>
              </w:rPr>
              <w:t>→</w:t>
            </w:r>
            <w:r>
              <w:rPr>
                <w:rFonts w:hint="eastAsia"/>
                <w:b w:val="0"/>
                <w:bCs/>
                <w:sz w:val="20"/>
                <w:szCs w:val="22"/>
                <w:lang w:val="en-US" w:eastAsia="zh-CN"/>
              </w:rPr>
              <w:t>钢板、无缝钢管的切割</w:t>
            </w:r>
            <w:r>
              <w:rPr>
                <w:rFonts w:hint="eastAsia"/>
                <w:b w:val="0"/>
                <w:bCs/>
                <w:sz w:val="20"/>
                <w:szCs w:val="22"/>
              </w:rPr>
              <w:t>→</w:t>
            </w:r>
            <w:r>
              <w:rPr>
                <w:rFonts w:hint="eastAsia"/>
                <w:b w:val="0"/>
                <w:bCs/>
                <w:sz w:val="20"/>
                <w:szCs w:val="22"/>
                <w:lang w:val="en-US" w:eastAsia="zh-CN"/>
              </w:rPr>
              <w:t>焊接</w:t>
            </w:r>
            <w:r>
              <w:rPr>
                <w:rFonts w:hint="eastAsia"/>
                <w:b w:val="0"/>
                <w:bCs/>
                <w:sz w:val="20"/>
                <w:szCs w:val="22"/>
              </w:rPr>
              <w:t>→</w:t>
            </w:r>
            <w:r>
              <w:rPr>
                <w:rFonts w:hint="eastAsia"/>
                <w:b w:val="0"/>
                <w:bCs/>
                <w:sz w:val="20"/>
                <w:szCs w:val="22"/>
                <w:lang w:val="en-US" w:eastAsia="zh-CN"/>
              </w:rPr>
              <w:t>组装</w:t>
            </w:r>
            <w:r>
              <w:rPr>
                <w:rFonts w:hint="eastAsia"/>
                <w:b w:val="0"/>
                <w:bCs/>
                <w:sz w:val="20"/>
                <w:szCs w:val="22"/>
              </w:rPr>
              <w:t>→</w:t>
            </w:r>
            <w:r>
              <w:rPr>
                <w:rFonts w:hint="eastAsia"/>
                <w:b w:val="0"/>
                <w:bCs/>
                <w:sz w:val="20"/>
                <w:szCs w:val="22"/>
                <w:lang w:val="en-US" w:eastAsia="zh-CN"/>
              </w:rPr>
              <w:t>检验</w:t>
            </w:r>
            <w:r>
              <w:rPr>
                <w:rFonts w:hint="eastAsia"/>
                <w:b w:val="0"/>
                <w:bCs/>
                <w:sz w:val="20"/>
                <w:szCs w:val="22"/>
              </w:rPr>
              <w:t>→交付和交付后服务。</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组装</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eastAsia="宋体" w:cs="Times New Roman"/>
                <w:b w:val="0"/>
                <w:bCs/>
                <w:color w:val="000000" w:themeColor="text1"/>
                <w:sz w:val="20"/>
                <w:szCs w:val="20"/>
                <w:u w:val="single"/>
                <w:lang w:val="en-US" w:eastAsia="zh-CN"/>
              </w:rPr>
              <w:t xml:space="preserve">焊接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19.8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Times New Roman" w:hAnsi="Times New Roman" w:eastAsia="宋体" w:cs="Times New Roman"/>
                <w:b w:val="0"/>
                <w:bCs/>
                <w:sz w:val="20"/>
                <w:szCs w:val="22"/>
                <w:lang w:val="en-US" w:eastAsia="zh-CN"/>
              </w:rPr>
              <w:t xml:space="preserve">不适用理由：按国标生产，不需要设计开发。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质量目标：</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⑴成品一次检验合格率98％以上；</w:t>
            </w:r>
          </w:p>
          <w:p>
            <w:pPr>
              <w:spacing w:line="240" w:lineRule="exact"/>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⑵顾客满意率达98％以上。</w:t>
            </w:r>
          </w:p>
          <w:p>
            <w:pPr>
              <w:spacing w:line="240" w:lineRule="exact"/>
              <w:rPr>
                <w:rFonts w:hint="default"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经考核，质量目标能够实现。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exact"/>
              <w:jc w:val="left"/>
              <w:rPr>
                <w:rFonts w:hint="eastAsia" w:ascii="宋体" w:hAnsi="宋体"/>
                <w:szCs w:val="21"/>
              </w:rPr>
            </w:pPr>
            <w:r>
              <w:rPr>
                <w:rFonts w:hint="eastAsia" w:ascii="宋体" w:hAnsi="宋体"/>
                <w:szCs w:val="21"/>
              </w:rPr>
              <w:t>1，组织建立并保持了《文件控制程序》、《记录控制程序》，批准：总经理，</w:t>
            </w:r>
            <w:r>
              <w:rPr>
                <w:rFonts w:hint="eastAsia" w:ascii="宋体" w:hAnsi="宋体"/>
                <w:szCs w:val="21"/>
                <w:lang w:val="en-US" w:eastAsia="zh-CN"/>
              </w:rPr>
              <w:t>刘金生</w:t>
            </w:r>
            <w:r>
              <w:rPr>
                <w:rFonts w:hint="eastAsia" w:ascii="宋体" w:hAnsi="宋体"/>
                <w:szCs w:val="21"/>
              </w:rPr>
              <w:t>；对成文信息的控制进行了策划和规定；</w:t>
            </w:r>
          </w:p>
          <w:p>
            <w:pPr>
              <w:spacing w:line="360" w:lineRule="exact"/>
              <w:jc w:val="left"/>
              <w:rPr>
                <w:rFonts w:hint="eastAsia" w:ascii="宋体" w:hAnsi="宋体"/>
                <w:szCs w:val="21"/>
              </w:rPr>
            </w:pPr>
            <w:r>
              <w:rPr>
                <w:rFonts w:hint="eastAsia" w:ascii="宋体" w:hAnsi="宋体"/>
                <w:szCs w:val="21"/>
              </w:rPr>
              <w:t>2，抽检:</w:t>
            </w:r>
            <w:r>
              <w:rPr>
                <w:rFonts w:hint="eastAsia" w:ascii="宋体" w:hAnsi="宋体"/>
                <w:szCs w:val="21"/>
                <w:lang w:eastAsia="zh-CN"/>
              </w:rPr>
              <w:t>办公室</w:t>
            </w:r>
            <w:r>
              <w:rPr>
                <w:rFonts w:hint="eastAsia" w:ascii="宋体" w:hAnsi="宋体"/>
                <w:szCs w:val="21"/>
              </w:rPr>
              <w:t>文件均为有效版本,并经相关人员批准，文件以文件名称/编号/版本号进行标识，如：管理手册,编号</w:t>
            </w:r>
            <w:r>
              <w:rPr>
                <w:rFonts w:hint="eastAsia" w:ascii="宋体" w:hAnsi="宋体"/>
                <w:szCs w:val="21"/>
                <w:lang w:val="en-US" w:eastAsia="zh-CN"/>
              </w:rPr>
              <w:t>ZH</w:t>
            </w:r>
            <w:r>
              <w:rPr>
                <w:rFonts w:hint="eastAsia" w:ascii="宋体" w:hAnsi="宋体"/>
                <w:szCs w:val="21"/>
              </w:rPr>
              <w:t>-QEM-20</w:t>
            </w:r>
            <w:r>
              <w:rPr>
                <w:rFonts w:hint="eastAsia" w:ascii="宋体" w:hAnsi="宋体"/>
                <w:szCs w:val="21"/>
                <w:lang w:val="en-US" w:eastAsia="zh-CN"/>
              </w:rPr>
              <w:t>20</w:t>
            </w:r>
            <w:r>
              <w:rPr>
                <w:rFonts w:hint="eastAsia" w:ascii="宋体" w:hAnsi="宋体"/>
                <w:szCs w:val="21"/>
              </w:rPr>
              <w:t>,生效日期：20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/1。程序文件, 编号</w:t>
            </w:r>
            <w:r>
              <w:rPr>
                <w:rFonts w:hint="eastAsia" w:ascii="宋体" w:hAnsi="宋体"/>
                <w:szCs w:val="21"/>
                <w:lang w:eastAsia="zh-CN"/>
              </w:rPr>
              <w:t>ZH</w:t>
            </w:r>
            <w:r>
              <w:rPr>
                <w:rFonts w:hint="eastAsia" w:ascii="宋体" w:hAnsi="宋体"/>
                <w:szCs w:val="21"/>
              </w:rPr>
              <w:t>/CX-01-24,生效日期：20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/1。</w:t>
            </w:r>
          </w:p>
          <w:p>
            <w:pPr>
              <w:pStyle w:val="10"/>
              <w:spacing w:line="360" w:lineRule="exact"/>
              <w:ind w:firstLine="0" w:firstLineChars="0"/>
              <w:jc w:val="left"/>
              <w:rPr>
                <w:rFonts w:hint="eastAsia" w:ascii="宋体" w:hAnsi="宋体"/>
                <w:szCs w:val="21"/>
              </w:rPr>
            </w:pPr>
            <w:r>
              <w:rPr>
                <w:rFonts w:hint="eastAsia" w:ascii="宋体" w:hAnsi="宋体"/>
                <w:szCs w:val="21"/>
              </w:rPr>
              <w:t>3,查：受控文件清单，其中有管理手册、程序文件、三层文件、外来文件等</w:t>
            </w:r>
            <w:r>
              <w:rPr>
                <w:rFonts w:hint="eastAsia" w:ascii="宋体" w:hAnsi="宋体"/>
                <w:szCs w:val="21"/>
                <w:lang w:eastAsia="zh-CN"/>
              </w:rPr>
              <w:t>共</w:t>
            </w:r>
            <w:r>
              <w:rPr>
                <w:rFonts w:hint="eastAsia" w:ascii="宋体" w:hAnsi="宋体"/>
                <w:szCs w:val="21"/>
                <w:lang w:val="en-US" w:eastAsia="zh-CN"/>
              </w:rPr>
              <w:t>63个受控文件</w:t>
            </w:r>
            <w:r>
              <w:rPr>
                <w:rFonts w:hint="eastAsia" w:ascii="宋体" w:hAnsi="宋体"/>
                <w:szCs w:val="21"/>
              </w:rPr>
              <w:t>；</w:t>
            </w:r>
          </w:p>
          <w:p>
            <w:pPr>
              <w:pStyle w:val="10"/>
              <w:spacing w:line="360" w:lineRule="exact"/>
              <w:ind w:firstLine="0" w:firstLineChars="0"/>
              <w:jc w:val="left"/>
              <w:rPr>
                <w:rFonts w:hint="eastAsia" w:ascii="宋体" w:hAnsi="宋体"/>
                <w:szCs w:val="21"/>
              </w:rPr>
            </w:pPr>
            <w:r>
              <w:rPr>
                <w:rFonts w:hint="eastAsia" w:ascii="宋体" w:hAnsi="宋体"/>
                <w:szCs w:val="21"/>
              </w:rPr>
              <w:t>4，组织对文件进行了识别和保持，确保文件能为需要的人员及时获取；提供了《文件发放回收记录表》，将体系文件发放到各部门。有各部门领用人员签字。提供了《记录清单》，涉及一体化管理体系的记录有</w:t>
            </w:r>
            <w:r>
              <w:rPr>
                <w:rFonts w:hint="eastAsia" w:ascii="宋体" w:hAnsi="宋体"/>
                <w:szCs w:val="21"/>
                <w:lang w:val="en-US" w:eastAsia="zh-CN"/>
              </w:rPr>
              <w:t>56</w:t>
            </w:r>
            <w:r>
              <w:rPr>
                <w:rFonts w:hint="eastAsia" w:ascii="宋体" w:hAnsi="宋体"/>
                <w:szCs w:val="21"/>
              </w:rPr>
              <w:t>个，对记录的编号也进行了规定，如：会议记录：编号：QR-5.6-02，</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default" w:ascii="宋体" w:hAnsi="宋体"/>
                <w:b/>
                <w:color w:val="000000" w:themeColor="text1"/>
                <w:sz w:val="20"/>
                <w:szCs w:val="20"/>
                <w:lang w:val="en-US"/>
              </w:rPr>
            </w:pPr>
            <w:r>
              <w:rPr>
                <w:rFonts w:hint="eastAsia" w:ascii="宋体" w:hAnsi="宋体"/>
                <w:szCs w:val="21"/>
                <w:lang w:val="en-US" w:eastAsia="zh-CN"/>
              </w:rPr>
              <w:t>全公司供20人，管理层3人，技术2个、仓库1人，操作人员14人。人力资源能够满足要求。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ind w:firstLine="402" w:firstLineChars="200"/>
              <w:rPr>
                <w:rFonts w:hint="eastAsia" w:eastAsia="楷体"/>
                <w:snapToGrid w:val="0"/>
                <w:kern w:val="0"/>
                <w:lang w:val="en-US" w:eastAsia="zh-CN"/>
              </w:rPr>
            </w:pPr>
            <w:r>
              <w:rPr>
                <w:rFonts w:hint="eastAsia" w:ascii="宋体" w:hAnsi="宋体"/>
                <w:b/>
                <w:color w:val="000000" w:themeColor="text1"/>
                <w:sz w:val="20"/>
                <w:szCs w:val="20"/>
              </w:rPr>
              <w:t>设备设施（包括信息系统）、</w:t>
            </w:r>
            <w:r>
              <w:rPr>
                <w:rFonts w:hint="eastAsia" w:eastAsia="楷体"/>
                <w:snapToGrid w:val="0"/>
                <w:kern w:val="0"/>
                <w:lang w:val="en-US" w:eastAsia="zh-CN"/>
              </w:rPr>
              <w:t>提供公司设备固定资产机器设备清查明细表，包括设备编号、设备名称、技术特征、制造厂家、出厂日期、设备原值等信息，共计5台件，包括电焊机、数控切割机、切割机、砂轮机等。</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车间面积约800余平米，包括生产、办公区域。</w:t>
            </w:r>
          </w:p>
          <w:p>
            <w:pPr>
              <w:ind w:firstLine="420" w:firstLineChars="200"/>
              <w:rPr>
                <w:rFonts w:hint="eastAsia" w:eastAsia="楷体"/>
                <w:snapToGrid w:val="0"/>
                <w:kern w:val="0"/>
                <w:lang w:val="en-US" w:eastAsia="zh-CN"/>
              </w:rPr>
            </w:pPr>
            <w:r>
              <w:rPr>
                <w:rFonts w:hint="eastAsia" w:eastAsia="楷体"/>
                <w:snapToGrid w:val="0"/>
                <w:kern w:val="0"/>
                <w:lang w:val="en-US" w:eastAsia="zh-CN"/>
              </w:rPr>
              <w:t>生产车间配备了电风扇用于降温和通风，车间照明采用节能灯照明，照明条件基本满足生产要求。办公室配备了空调、计算机、打印机等办公设施。</w:t>
            </w:r>
          </w:p>
          <w:p>
            <w:pPr>
              <w:ind w:firstLine="420" w:firstLineChars="200"/>
              <w:rPr>
                <w:rFonts w:hint="eastAsia" w:eastAsia="楷体"/>
                <w:snapToGrid w:val="0"/>
                <w:kern w:val="0"/>
                <w:lang w:val="en-US" w:eastAsia="zh-CN"/>
              </w:rPr>
            </w:pPr>
            <w:r>
              <w:rPr>
                <w:rFonts w:hint="eastAsia" w:eastAsia="楷体"/>
                <w:snapToGrid w:val="0"/>
                <w:kern w:val="0"/>
                <w:lang w:val="en-US" w:eastAsia="zh-CN"/>
              </w:rPr>
              <w:t>车间内设备布局较乱，车辆运输通道较窄，建议对车间设备合理布置，留出充足的运输通道，并设置隔离区及标识，做到安全、清洁、文明生产，已交流。</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提供了《设备检修单》，设备名称:数控切割机，定期维护保养，检修记录：清楚设备上的灰尘，加润滑油，检修人：藏天佑，检修日期2020-10-12.维修结论：设备恢复正常状态。</w:t>
            </w:r>
          </w:p>
          <w:p>
            <w:pPr>
              <w:ind w:firstLine="420" w:firstLineChars="200"/>
              <w:rPr>
                <w:rFonts w:hint="eastAsia" w:eastAsia="楷体"/>
                <w:snapToGrid w:val="0"/>
                <w:kern w:val="0"/>
                <w:highlight w:val="none"/>
                <w:lang w:val="en-US" w:eastAsia="zh-CN"/>
              </w:rPr>
            </w:pPr>
            <w:r>
              <w:rPr>
                <w:rFonts w:hint="eastAsia" w:eastAsia="楷体"/>
                <w:snapToGrid w:val="0"/>
                <w:kern w:val="0"/>
                <w:lang w:val="en-US" w:eastAsia="zh-CN"/>
              </w:rPr>
              <w:t>提供了设备保养计划表，对在用编号、设备名称、计划保养检查月份进行了计划。对切割机、电焊机等设备计划保养时间分别为10月、11月、12月，编制：藏天佑，审核：刘金生，</w:t>
            </w:r>
            <w:r>
              <w:rPr>
                <w:rFonts w:hint="eastAsia" w:eastAsia="楷体"/>
                <w:snapToGrid w:val="0"/>
                <w:kern w:val="0"/>
                <w:highlight w:val="none"/>
                <w:lang w:val="en-US" w:eastAsia="zh-CN"/>
              </w:rPr>
              <w:t>2020年10月7日。</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提供了《设备维护保养检查表》，对设备名称、数量、检查内容及检查情况进行了记录。</w:t>
            </w:r>
          </w:p>
          <w:p>
            <w:pPr>
              <w:ind w:firstLine="420" w:firstLineChars="200"/>
              <w:rPr>
                <w:rFonts w:ascii="宋体" w:hAnsi="宋体"/>
                <w:b/>
                <w:color w:val="000000" w:themeColor="text1"/>
                <w:sz w:val="20"/>
                <w:szCs w:val="20"/>
              </w:rPr>
            </w:pPr>
            <w:r>
              <w:rPr>
                <w:rFonts w:hint="eastAsia" w:eastAsia="楷体"/>
                <w:snapToGrid w:val="0"/>
                <w:kern w:val="0"/>
                <w:highlight w:val="none"/>
                <w:lang w:val="en-US" w:eastAsia="zh-CN"/>
              </w:rPr>
              <w:t>抽查2020年10月份《设备维护</w:t>
            </w:r>
            <w:r>
              <w:rPr>
                <w:rFonts w:hint="eastAsia" w:eastAsia="楷体"/>
                <w:snapToGrid w:val="0"/>
                <w:kern w:val="0"/>
                <w:lang w:val="en-US" w:eastAsia="zh-CN"/>
              </w:rPr>
              <w:t>保养检查表》，对切割机、电焊机、气体保护焊机等设备保养检查内容进行记录，检查情况均为好。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tabs>
                <w:tab w:val="left" w:pos="300"/>
              </w:tabs>
              <w:spacing w:line="360" w:lineRule="exact"/>
              <w:ind w:left="420" w:leftChars="0" w:hanging="420" w:firstLineChars="0"/>
              <w:rPr>
                <w:rFonts w:hint="eastAsia" w:eastAsia="楷体"/>
                <w:snapToGrid w:val="0"/>
                <w:kern w:val="0"/>
                <w:szCs w:val="22"/>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eastAsia="楷体"/>
                <w:snapToGrid w:val="0"/>
                <w:kern w:val="0"/>
                <w:szCs w:val="22"/>
                <w:lang w:val="en-US" w:eastAsia="zh-CN"/>
              </w:rPr>
              <w:t>现场查看运行环境，工器具摆放规整 设备卫生清洁 地面卫生清洁 物料堆放整齐；照明适宜 安全防护到位 、电器开关和插座无裸露 </w:t>
            </w:r>
          </w:p>
          <w:p>
            <w:pPr>
              <w:numPr>
                <w:ilvl w:val="0"/>
                <w:numId w:val="3"/>
              </w:numPr>
              <w:tabs>
                <w:tab w:val="left" w:pos="300"/>
              </w:tabs>
              <w:spacing w:line="360" w:lineRule="exact"/>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、消防器材安全可靠、在有效期 其他安全方面应无隐患 ；</w:t>
            </w:r>
          </w:p>
          <w:p>
            <w:pPr>
              <w:spacing w:line="240" w:lineRule="exact"/>
              <w:rPr>
                <w:rFonts w:hint="eastAsia" w:ascii="宋体" w:hAnsi="宋体" w:eastAsia="宋体"/>
                <w:b/>
                <w:color w:val="000000" w:themeColor="text1"/>
                <w:sz w:val="20"/>
                <w:szCs w:val="20"/>
                <w:lang w:eastAsia="zh-CN"/>
              </w:rPr>
            </w:pPr>
            <w:r>
              <w:rPr>
                <w:rFonts w:hint="eastAsia" w:eastAsia="楷体"/>
                <w:snapToGrid w:val="0"/>
                <w:kern w:val="0"/>
                <w:szCs w:val="22"/>
                <w:lang w:val="en-US" w:eastAsia="zh-CN"/>
              </w:rPr>
              <w:t>员工情绪稳定，工作积极，没有歧视等现象，员工心里健康向上。</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ind w:firstLine="402" w:firstLineChars="200"/>
              <w:rPr>
                <w:rFonts w:hint="eastAsia" w:eastAsia="楷体"/>
                <w:snapToGrid w:val="0"/>
                <w:kern w:val="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eastAsia="楷体"/>
                <w:snapToGrid w:val="0"/>
                <w:kern w:val="0"/>
                <w:lang w:val="en-US" w:eastAsia="zh-CN"/>
              </w:rPr>
              <w:t>建立了本厂《监视和测量设备控制程序》，对监视和测量设备的申购、选型、采购、校准、使用及报废等各环节管理程序提出了控制要求。</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提供了《监测设备台帐》，台帐中登记了监测设备名称、测量范围、精度、生产厂家、出厂编号、检定周期、领用部门、领用日期、经办人及备注等信息。</w:t>
            </w:r>
          </w:p>
          <w:p>
            <w:pPr>
              <w:ind w:firstLine="420" w:firstLineChars="200"/>
              <w:rPr>
                <w:rFonts w:hint="eastAsia" w:eastAsia="楷体"/>
                <w:snapToGrid w:val="0"/>
                <w:kern w:val="0"/>
                <w:highlight w:val="none"/>
                <w:lang w:val="en-US" w:eastAsia="zh-CN"/>
              </w:rPr>
            </w:pPr>
            <w:r>
              <w:rPr>
                <w:rFonts w:hint="eastAsia" w:eastAsia="楷体"/>
                <w:snapToGrid w:val="0"/>
                <w:kern w:val="0"/>
                <w:highlight w:val="none"/>
                <w:lang w:val="en-US" w:eastAsia="zh-CN"/>
              </w:rPr>
              <w:t>提供的监测设备台帐，列出了游标卡尺及钢卷尺各1件，编制：赵学伟，审核：藏天佑，2020年10月12日。</w:t>
            </w:r>
          </w:p>
          <w:p>
            <w:pPr>
              <w:ind w:firstLine="420" w:firstLineChars="200"/>
              <w:rPr>
                <w:rFonts w:hint="eastAsia" w:eastAsia="楷体"/>
                <w:snapToGrid w:val="0"/>
                <w:kern w:val="0"/>
                <w:lang w:val="en-US" w:eastAsia="zh-CN"/>
              </w:rPr>
            </w:pPr>
            <w:r>
              <w:rPr>
                <w:rFonts w:hint="eastAsia" w:eastAsia="楷体"/>
                <w:snapToGrid w:val="0"/>
                <w:kern w:val="0"/>
                <w:lang w:val="en-US" w:eastAsia="zh-CN"/>
              </w:rPr>
              <w:t>提供的监测设备台帐，没有涵盖厂所有监测设备，游标卡尺、千分尺、钢板尺、高度尺、塞尺、卡表、直角尺、深度尺、百分表等，建议对全厂在用监测设备均应纳入监测设备台帐进行管理，已交流。</w:t>
            </w:r>
          </w:p>
          <w:p>
            <w:pPr>
              <w:spacing w:line="240" w:lineRule="exact"/>
              <w:rPr>
                <w:rFonts w:hint="default" w:ascii="宋体" w:hAnsi="宋体" w:eastAsia="宋体"/>
                <w:b/>
                <w:color w:val="000000" w:themeColor="text1"/>
                <w:sz w:val="20"/>
                <w:szCs w:val="20"/>
                <w:lang w:val="en-US" w:eastAsia="zh-CN"/>
              </w:rPr>
            </w:pPr>
            <w:r>
              <w:rPr>
                <w:rFonts w:hint="eastAsia" w:ascii="Times New Roman" w:hAnsi="Times New Roman" w:eastAsia="楷体" w:cs="Times New Roman"/>
                <w:snapToGrid w:val="0"/>
                <w:kern w:val="0"/>
                <w:szCs w:val="22"/>
                <w:lang w:val="en-US" w:eastAsia="zh-CN"/>
              </w:rPr>
              <w:t>未能提供钢卷尺、千分尺的校准证据，已经开具不符合项报告。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ind w:left="420" w:leftChars="0" w:hanging="420" w:firstLineChars="0"/>
              <w:rPr>
                <w:rFonts w:hint="eastAsia" w:eastAsia="楷体"/>
                <w:snapToGrid w:val="0"/>
                <w:kern w:val="0"/>
                <w:szCs w:val="22"/>
                <w:lang w:val="en-US" w:eastAsia="zh-CN"/>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eastAsia="楷体"/>
                <w:snapToGrid w:val="0"/>
                <w:kern w:val="0"/>
                <w:szCs w:val="22"/>
                <w:lang w:val="en-US" w:eastAsia="zh-CN"/>
              </w:rPr>
              <w:t>与办公室负责人进行沟通：</w:t>
            </w:r>
          </w:p>
          <w:p>
            <w:pPr>
              <w:numPr>
                <w:ilvl w:val="0"/>
                <w:numId w:val="3"/>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1、组织内的知识主要由办公室通过网站获取法律法规信息、业务员从客户取得产品要求后进行归档控制、内部知识主要通过开会和培训方式进行；</w:t>
            </w:r>
          </w:p>
          <w:p>
            <w:pPr>
              <w:numPr>
                <w:ilvl w:val="0"/>
                <w:numId w:val="3"/>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2、经过查阅组织内知识主要包括：客户信息和供应商信息等；</w:t>
            </w:r>
          </w:p>
          <w:p>
            <w:pPr>
              <w:numPr>
                <w:ilvl w:val="0"/>
                <w:numId w:val="3"/>
              </w:numPr>
              <w:ind w:left="420" w:leftChars="0" w:hanging="420" w:firstLineChars="0"/>
              <w:rPr>
                <w:rFonts w:hint="eastAsia" w:eastAsia="楷体"/>
                <w:snapToGrid w:val="0"/>
                <w:kern w:val="0"/>
                <w:szCs w:val="22"/>
                <w:lang w:val="en-US" w:eastAsia="zh-CN"/>
              </w:rPr>
            </w:pPr>
            <w:r>
              <w:rPr>
                <w:rFonts w:hint="eastAsia" w:eastAsia="楷体"/>
                <w:snapToGrid w:val="0"/>
                <w:kern w:val="0"/>
                <w:szCs w:val="22"/>
                <w:lang w:val="en-US" w:eastAsia="zh-CN"/>
              </w:rPr>
              <w:t>3、组织通过持续关注国家法律法规的变化、客户需求变化、环保要求变化、供应商及相关方需求变化、内部员工培训等方式保持组织知识的更新和保持；</w:t>
            </w:r>
          </w:p>
          <w:p>
            <w:pPr>
              <w:spacing w:line="240" w:lineRule="exact"/>
              <w:rPr>
                <w:rFonts w:hint="eastAsia" w:ascii="宋体" w:hAnsi="宋体" w:eastAsia="宋体"/>
                <w:b/>
                <w:color w:val="000000" w:themeColor="text1"/>
                <w:sz w:val="20"/>
                <w:szCs w:val="20"/>
                <w:lang w:eastAsia="zh-CN"/>
              </w:rPr>
            </w:pPr>
            <w:r>
              <w:rPr>
                <w:rFonts w:hint="eastAsia" w:eastAsia="楷体"/>
                <w:snapToGrid w:val="0"/>
                <w:kern w:val="0"/>
                <w:szCs w:val="22"/>
                <w:lang w:val="en-US" w:eastAsia="zh-CN"/>
              </w:rPr>
              <w:t>对知识的识别、收集、分享和应用基本适宜。</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楷体" w:hAnsi="楷体" w:eastAsia="楷体" w:cs="楷体"/>
                <w:b w:val="0"/>
                <w:bCs/>
                <w:szCs w:val="21"/>
                <w:highlight w:val="none"/>
                <w:lang w:val="en-US" w:eastAsia="zh-CN"/>
              </w:rPr>
              <w:t>量方针：</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质量第一,客户至上, 持续稳定地提供优质产品和服务。</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 xml:space="preserve"> 其内涵是：</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b/>
                <w:color w:val="000000" w:themeColor="text1"/>
                <w:sz w:val="20"/>
                <w:szCs w:val="20"/>
              </w:rPr>
            </w:pPr>
            <w:r>
              <w:rPr>
                <w:rFonts w:hint="eastAsia" w:ascii="楷体" w:hAnsi="楷体" w:eastAsia="楷体" w:cs="楷体"/>
                <w:b w:val="0"/>
                <w:bCs/>
                <w:szCs w:val="21"/>
                <w:highlight w:val="none"/>
                <w:lang w:val="en-US" w:eastAsia="zh-CN"/>
              </w:rPr>
              <w:t>本企业员工严格遵守质量管理体系的要求、遵守工艺规程,实施过程控制,确保所生产的产品满足顾客和法律法规的要求,以服务社会；以顾客为中心，充分发挥科学管理优势，不断创新，积极改进，求得我企业的不断发展；人是质量管理体系的一个重要因素，整个质量管理过程都需要人来完成，本企业非常注重人才培养，以求用高素质的人才，创造出高质量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val="0"/>
                <w:bCs/>
                <w:color w:val="000000" w:themeColor="text1"/>
                <w:sz w:val="20"/>
                <w:szCs w:val="20"/>
                <w:lang w:val="en-US" w:eastAsia="zh-CN"/>
              </w:rPr>
              <w:t>会议、板报、通知等。</w:t>
            </w:r>
          </w:p>
          <w:p>
            <w:pPr>
              <w:spacing w:line="240" w:lineRule="exact"/>
              <w:rPr>
                <w:rFonts w:hint="eastAsia" w:ascii="楷体_GB2312" w:eastAsia="楷体_GB2312"/>
                <w:b w:val="0"/>
                <w:bCs/>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val="0"/>
                <w:bCs/>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val="0"/>
                <w:bCs/>
                <w:color w:val="000000" w:themeColor="text1"/>
                <w:sz w:val="20"/>
                <w:szCs w:val="20"/>
                <w:lang w:val="en-US" w:eastAsia="zh-CN"/>
              </w:rPr>
              <w:t>报告、告知书等。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ind w:firstLine="420" w:firstLineChars="200"/>
              <w:rPr>
                <w:b/>
                <w:color w:val="000000" w:themeColor="text1"/>
                <w:sz w:val="20"/>
                <w:szCs w:val="20"/>
              </w:rPr>
            </w:pPr>
            <w:r>
              <w:rPr>
                <w:rFonts w:hint="eastAsia" w:eastAsia="楷体"/>
                <w:snapToGrid w:val="0"/>
                <w:kern w:val="0"/>
                <w:lang w:val="en-US" w:eastAsia="zh-CN"/>
              </w:rPr>
              <w:t>经识别，确认生产过程中焊接为特殊过程，对需确认过程质量保证能力要求定期确认，确认内容包括：操作规程、设备控制参数、生产设备、检测能力、人员能力等方面。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rFonts w:hint="default"/>
                <w:b/>
                <w:color w:val="000000" w:themeColor="text1"/>
                <w:sz w:val="20"/>
                <w:szCs w:val="20"/>
                <w:lang w:val="en-US"/>
              </w:rPr>
            </w:pPr>
            <w:r>
              <w:rPr>
                <w:rFonts w:hint="eastAsia"/>
                <w:b/>
                <w:color w:val="000000" w:themeColor="text1"/>
                <w:sz w:val="20"/>
                <w:szCs w:val="20"/>
              </w:rPr>
              <w:t>4.QMS产品/服务的标准、协议/规范的有效性以及产品/服务质量符合要求，向顾客稳定提供合格产品的情况；</w:t>
            </w:r>
            <w:r>
              <w:rPr>
                <w:rFonts w:hint="eastAsia" w:eastAsia="楷体"/>
                <w:snapToGrid w:val="0"/>
                <w:kern w:val="0"/>
                <w:lang w:val="en-US" w:eastAsia="zh-CN"/>
              </w:rPr>
              <w:t>执行标准JB/T 7985-2002</w:t>
            </w:r>
            <w:r>
              <w:rPr>
                <w:rFonts w:hint="eastAsia" w:eastAsia="楷体"/>
                <w:snapToGrid w:val="0"/>
                <w:kern w:val="0"/>
                <w:lang w:val="en-US" w:eastAsia="zh-CN"/>
              </w:rPr>
              <w:tab/>
            </w:r>
            <w:r>
              <w:rPr>
                <w:rFonts w:hint="eastAsia" w:eastAsia="楷体"/>
                <w:snapToGrid w:val="0"/>
                <w:kern w:val="0"/>
                <w:lang w:val="en-US" w:eastAsia="zh-CN"/>
              </w:rPr>
              <w:t>小型锅炉常温锅炉技术条件。经进行顾客满意度调查得知，顾客对本公司的产品满意度高，产品质量受顾客欢迎。</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r>
              <w:rPr>
                <w:rFonts w:hint="eastAsia"/>
                <w:b w:val="0"/>
                <w:bCs/>
                <w:color w:val="000000" w:themeColor="text1"/>
                <w:spacing w:val="-8"/>
                <w:sz w:val="20"/>
                <w:szCs w:val="20"/>
                <w:lang w:val="en-US" w:eastAsia="zh-CN"/>
              </w:rPr>
              <w:t>开具1个不符合项报告，已经纠正完毕。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公司每年对质量目标进行定期考核，考核结果达到了目标要求。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default" w:eastAsia="楷体"/>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ascii="Times New Roman" w:hAnsi="Times New Roman" w:eastAsia="宋体" w:cs="Times New Roman"/>
                <w:b w:val="0"/>
                <w:bCs/>
                <w:color w:val="000000" w:themeColor="text1"/>
                <w:sz w:val="20"/>
                <w:szCs w:val="20"/>
                <w:lang w:val="en-US" w:eastAsia="zh-CN"/>
              </w:rPr>
              <w:t>公司主要采用电话、上门拜访、邮件、填写顾客满意度调查表的方式进行顾客反馈的收集。公司的管理手册规定了顾客满意度测量的内容包括：产品质量的性能、制造质量、产品的使用情况、与其它厂家的对比情况；售前、售中、售后的服务程度及处理问题的及时性；销售人员的业务能力、服务态度及与顾客沟通及时性；合同履行的及时诚信情况；产品性价比。顾客满意度分为4个等级：满意、基本满意、一般、不满意。顾客满意度达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left="100" w:hanging="100" w:hangingChars="50"/>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提供《2020年管理体系内审计划》， 明确了审核目的、依据、范围、部门、审核内容。计划于2020年12月13日实施。</w:t>
            </w:r>
          </w:p>
          <w:p>
            <w:pPr>
              <w:spacing w:line="240" w:lineRule="exact"/>
              <w:ind w:left="100" w:hanging="100" w:hangingChars="50"/>
              <w:rPr>
                <w:b/>
                <w:color w:val="000000" w:themeColor="text1"/>
                <w:sz w:val="20"/>
                <w:szCs w:val="20"/>
              </w:rPr>
            </w:pPr>
            <w:r>
              <w:rPr>
                <w:rFonts w:hint="eastAsia" w:ascii="Times New Roman" w:hAnsi="Times New Roman" w:eastAsia="宋体" w:cs="Times New Roman"/>
                <w:b w:val="0"/>
                <w:bCs/>
                <w:color w:val="000000" w:themeColor="text1"/>
                <w:sz w:val="20"/>
                <w:szCs w:val="20"/>
                <w:lang w:val="en-US" w:eastAsia="zh-CN"/>
              </w:rPr>
              <w:t>出示《内审首末次会议签到表》， 各部门负责人签字齐全。提供了各部门内审检查表。查阅领导层、办公室、生产部、供销部检查表，对审核的事实进行了描述，审核条款无遗漏。本次审核开出1项不符合报告。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于2020.12.18由总经理刘金生主持进行了管理评审。提供了会议签到表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出示各部门输入资料：各部门领导做了本部门的体系运行工作汇报。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查评审计划：管理评审计划于220年12月19日下发，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计划明确了评审目的、地点、参加评审的人员、评审的内容和各部门需准备的评审材料等。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查按照策划的要求，于2020.12.18由总经理刘金生主持进行了管理评审。提供了会议签到表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出示各部门输入资料：部门领导做了本部门的体系运行工作汇报。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楷体" w:hAnsi="楷体" w:eastAsia="楷体" w:cs="楷体"/>
                <w:b w:val="0"/>
                <w:bCs/>
                <w:szCs w:val="21"/>
                <w:highlight w:val="none"/>
                <w:lang w:val="en-US" w:eastAsia="zh-CN"/>
              </w:rPr>
            </w:pPr>
            <w:r>
              <w:rPr>
                <w:rFonts w:hint="eastAsia" w:ascii="楷体" w:hAnsi="楷体" w:eastAsia="楷体" w:cs="楷体"/>
                <w:b w:val="0"/>
                <w:bCs/>
                <w:szCs w:val="21"/>
                <w:highlight w:val="none"/>
                <w:lang w:val="en-US" w:eastAsia="zh-CN"/>
              </w:rPr>
              <w:t>改进的建议：1举办一次公司骨干人员的培训班。</w:t>
            </w:r>
          </w:p>
          <w:p>
            <w:pPr>
              <w:spacing w:line="240" w:lineRule="exact"/>
              <w:rPr>
                <w:b/>
                <w:color w:val="000000" w:themeColor="text1"/>
                <w:sz w:val="20"/>
                <w:szCs w:val="20"/>
              </w:rPr>
            </w:pPr>
            <w:r>
              <w:rPr>
                <w:rFonts w:hint="eastAsia" w:ascii="楷体" w:hAnsi="楷体" w:eastAsia="楷体" w:cs="楷体"/>
                <w:b w:val="0"/>
                <w:bCs/>
                <w:szCs w:val="21"/>
                <w:highlight w:val="none"/>
                <w:lang w:val="en-US" w:eastAsia="zh-CN"/>
              </w:rPr>
              <w:t>管理评审提出的改进措施已经实施。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ind w:firstLine="402" w:firstLineChars="200"/>
              <w:rPr>
                <w:rFonts w:hint="eastAsia" w:eastAsia="楷体"/>
                <w:snapToGrid w:val="0"/>
                <w:kern w:val="0"/>
                <w:lang w:val="en-US" w:eastAsia="zh-CN"/>
              </w:rPr>
            </w:pPr>
            <w:r>
              <w:rPr>
                <w:rFonts w:hint="eastAsia"/>
                <w:b/>
                <w:color w:val="000000" w:themeColor="text1"/>
                <w:sz w:val="20"/>
                <w:szCs w:val="20"/>
              </w:rPr>
              <w:t>1 纠正/预防措施的实施及效果</w:t>
            </w:r>
            <w:r>
              <w:rPr>
                <w:rFonts w:hint="eastAsia"/>
                <w:b/>
                <w:color w:val="000000" w:themeColor="text1"/>
                <w:spacing w:val="-8"/>
                <w:sz w:val="20"/>
                <w:szCs w:val="20"/>
              </w:rPr>
              <w:t>;</w:t>
            </w:r>
            <w:r>
              <w:rPr>
                <w:rFonts w:hint="eastAsia" w:eastAsia="楷体"/>
                <w:snapToGrid w:val="0"/>
                <w:kern w:val="0"/>
                <w:lang w:val="en-US" w:eastAsia="zh-CN"/>
              </w:rPr>
              <w:t>当出现不合格，包括投诉所引起的不合格，各相关部门对不合格做出应对，采取措施予以控制和纠正； 处置产生的后果。现场观察了解、查看相关资料2017年以来未发生质量安全事故。</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通过质量方针和目标的建立于实施，评价方针与目标，提出改进方向。</w:t>
            </w:r>
          </w:p>
          <w:p>
            <w:pPr>
              <w:ind w:firstLine="420" w:firstLineChars="200"/>
              <w:rPr>
                <w:rFonts w:hint="eastAsia" w:eastAsia="楷体"/>
                <w:snapToGrid w:val="0"/>
                <w:kern w:val="0"/>
                <w:lang w:val="en-US" w:eastAsia="zh-CN"/>
              </w:rPr>
            </w:pPr>
            <w:r>
              <w:rPr>
                <w:rFonts w:hint="eastAsia" w:eastAsia="楷体"/>
                <w:snapToGrid w:val="0"/>
                <w:kern w:val="0"/>
                <w:lang w:val="en-US" w:eastAsia="zh-CN"/>
              </w:rPr>
              <w:t>通过数据分析，内外部审核不断寻求改进机会，并作出适当的改进活动安排。</w:t>
            </w:r>
          </w:p>
          <w:p>
            <w:pPr>
              <w:ind w:firstLine="420" w:firstLineChars="200"/>
              <w:rPr>
                <w:rFonts w:hint="eastAsia" w:eastAsia="楷体"/>
                <w:snapToGrid w:val="0"/>
                <w:kern w:val="0"/>
                <w:lang w:val="en-US" w:eastAsia="zh-CN"/>
              </w:rPr>
            </w:pPr>
            <w:r>
              <w:rPr>
                <w:rFonts w:hint="eastAsia" w:eastAsia="楷体"/>
                <w:snapToGrid w:val="0"/>
                <w:kern w:val="0"/>
                <w:lang w:val="en-US" w:eastAsia="zh-CN"/>
              </w:rPr>
              <w:t>实施纠正和预防措施以及其他适用的措施，实现改进。</w:t>
            </w:r>
          </w:p>
          <w:p>
            <w:pPr>
              <w:ind w:firstLine="420" w:firstLineChars="200"/>
              <w:rPr>
                <w:rFonts w:hint="eastAsia" w:eastAsia="楷体"/>
                <w:snapToGrid w:val="0"/>
                <w:kern w:val="0"/>
                <w:highlight w:val="none"/>
                <w:lang w:val="en-US" w:eastAsia="zh-CN"/>
              </w:rPr>
            </w:pPr>
            <w:r>
              <w:rPr>
                <w:rFonts w:hint="eastAsia" w:eastAsia="楷体"/>
                <w:snapToGrid w:val="0"/>
                <w:kern w:val="0"/>
                <w:lang w:val="en-US" w:eastAsia="zh-CN"/>
              </w:rPr>
              <w:t>考虑管理评审的分析、评价结果，以及管理评审的输出，确定是否存在持续改进的需求或机会。</w:t>
            </w:r>
            <w:r>
              <w:rPr>
                <w:rFonts w:hint="eastAsia" w:eastAsia="楷体"/>
                <w:snapToGrid w:val="0"/>
                <w:kern w:val="0"/>
                <w:highlight w:val="none"/>
                <w:lang w:val="en-US" w:eastAsia="zh-CN"/>
              </w:rPr>
              <w:t>各部门协助管理者代表积极识别改进的机会，保持质量管理体系的有效性。</w:t>
            </w:r>
          </w:p>
          <w:p>
            <w:pPr>
              <w:spacing w:line="240" w:lineRule="exact"/>
              <w:rPr>
                <w:b/>
                <w:color w:val="000000" w:themeColor="text1"/>
                <w:sz w:val="20"/>
                <w:szCs w:val="20"/>
              </w:rPr>
            </w:pPr>
            <w:r>
              <w:rPr>
                <w:rFonts w:hint="eastAsia" w:eastAsia="楷体"/>
                <w:snapToGrid w:val="0"/>
                <w:kern w:val="0"/>
                <w:highlight w:val="none"/>
                <w:lang w:val="en-US" w:eastAsia="zh-CN"/>
              </w:rPr>
              <w:t>本公司持续改进包括： 对质量方针、目标的评审结果、实现情况进行改进；  对顾客反馈、建议进行改进； 对审核（包括第一方、第二方和第三方审核）的不符合项、问题及建议改进； 对数据分析的结果、存在问题的改进； 对日常检查发现问题的纠正措施落实效果总结进行改进； 对管理评审发现的问题、建议进行改进。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val="0"/>
                <w:bCs/>
                <w:color w:val="000000" w:themeColor="text1"/>
                <w:spacing w:val="-20"/>
                <w:sz w:val="20"/>
                <w:szCs w:val="20"/>
                <w:lang w:val="en-US" w:eastAsia="zh-CN"/>
              </w:rPr>
            </w:pPr>
            <w:r>
              <w:rPr>
                <w:rFonts w:hint="eastAsia"/>
                <w:b w:val="0"/>
                <w:bCs/>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val="0"/>
                <w:bCs/>
                <w:color w:val="000000" w:themeColor="text1"/>
                <w:sz w:val="20"/>
                <w:szCs w:val="20"/>
                <w:lang w:val="en-US" w:eastAsia="zh-CN"/>
              </w:rPr>
              <w:t>整改完毕</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lang w:val="en-US" w:eastAsia="zh-CN"/>
        </w:rPr>
        <w:t>不符合</w:t>
      </w:r>
      <w:r>
        <w:rPr>
          <w:rFonts w:hint="eastAsia"/>
          <w:b/>
          <w:color w:val="000000" w:themeColor="text1"/>
        </w:rPr>
        <w:t>项分布在</w:t>
      </w:r>
      <w:r>
        <w:rPr>
          <w:rFonts w:hint="eastAsia"/>
          <w:b/>
          <w:color w:val="000000" w:themeColor="text1"/>
          <w:lang w:val="en-US" w:eastAsia="zh-CN"/>
        </w:rPr>
        <w:t>1个</w:t>
      </w:r>
      <w:r>
        <w:rPr>
          <w:rFonts w:hint="eastAsia"/>
          <w:b/>
          <w:color w:val="000000" w:themeColor="text1"/>
        </w:rPr>
        <w:t>部门</w:t>
      </w:r>
      <w:r>
        <w:rPr>
          <w:rFonts w:hint="eastAsia"/>
          <w:b/>
          <w:color w:val="000000" w:themeColor="text1"/>
          <w:lang w:val="en-US" w:eastAsia="zh-CN"/>
        </w:rPr>
        <w:t>1个</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b/>
                <w:color w:val="000000" w:themeColor="text1"/>
                <w:sz w:val="20"/>
                <w:szCs w:val="20"/>
              </w:rPr>
              <w:t>该公司建立并实施的质量管理体系基本符合标准要求，对可能存在的重要风险基本可以得到有效控制，检测质量稳定，没有出现过质量安全事故以及顾客投诉等事件，该公司建立了自我完善和自我改进机制，质量管理体系运行基本有效。现场开具的1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1312" behindDoc="1" locked="0" layoutInCell="1" allowOverlap="1">
            <wp:simplePos x="0" y="0"/>
            <wp:positionH relativeFrom="column">
              <wp:posOffset>1616075</wp:posOffset>
            </wp:positionH>
            <wp:positionV relativeFrom="paragraph">
              <wp:posOffset>151130</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2576830" y="5838825"/>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anchor distT="0" distB="0" distL="114300" distR="114300" simplePos="0" relativeHeight="251662336" behindDoc="0" locked="0" layoutInCell="1" allowOverlap="1">
            <wp:simplePos x="0" y="0"/>
            <wp:positionH relativeFrom="column">
              <wp:posOffset>1531620</wp:posOffset>
            </wp:positionH>
            <wp:positionV relativeFrom="paragraph">
              <wp:posOffset>0</wp:posOffset>
            </wp:positionV>
            <wp:extent cx="755650" cy="571500"/>
            <wp:effectExtent l="0" t="0" r="635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lum contrast="60000"/>
                    </a:blip>
                    <a:stretch>
                      <a:fillRect/>
                    </a:stretch>
                  </pic:blipFill>
                  <pic:spPr>
                    <a:xfrm>
                      <a:off x="0" y="0"/>
                      <a:ext cx="755650" cy="571500"/>
                    </a:xfrm>
                    <a:prstGeom prst="rect">
                      <a:avLst/>
                    </a:prstGeom>
                    <a:noFill/>
                    <a:ln>
                      <a:noFill/>
                    </a:ln>
                  </pic:spPr>
                </pic:pic>
              </a:graphicData>
            </a:graphic>
          </wp:anchor>
        </w:drawing>
      </w:r>
    </w:p>
    <w:p>
      <w:pPr>
        <w:snapToGrid w:val="0"/>
        <w:spacing w:line="360" w:lineRule="auto"/>
        <w:ind w:firstLine="2108" w:firstLineChars="100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2021.1.19</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b/>
          <w:color w:val="000000" w:themeColor="text1"/>
          <w:szCs w:val="21"/>
          <w:lang w:val="en-US"/>
        </w:rPr>
      </w:pPr>
      <w:r>
        <w:drawing>
          <wp:anchor distT="0" distB="0" distL="114300" distR="114300" simplePos="0" relativeHeight="251666432" behindDoc="1" locked="0" layoutInCell="1" allowOverlap="1">
            <wp:simplePos x="0" y="0"/>
            <wp:positionH relativeFrom="column">
              <wp:posOffset>760095</wp:posOffset>
            </wp:positionH>
            <wp:positionV relativeFrom="paragraph">
              <wp:posOffset>43815</wp:posOffset>
            </wp:positionV>
            <wp:extent cx="744855" cy="508000"/>
            <wp:effectExtent l="0" t="0" r="4445" b="0"/>
            <wp:wrapTight wrapText="bothSides">
              <wp:wrapPolygon>
                <wp:start x="0" y="0"/>
                <wp:lineTo x="0" y="21060"/>
                <wp:lineTo x="21361" y="21060"/>
                <wp:lineTo x="21361"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val="en-US" w:eastAsia="zh-CN"/>
        </w:rPr>
        <w:t>2021年1月19日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CF7C"/>
    <w:multiLevelType w:val="singleLevel"/>
    <w:tmpl w:val="2995CF7C"/>
    <w:lvl w:ilvl="0" w:tentative="0">
      <w:start w:val="1"/>
      <w:numFmt w:val="bullet"/>
      <w:lvlText w:val=""/>
      <w:lvlJc w:val="left"/>
      <w:pPr>
        <w:ind w:left="420" w:hanging="420"/>
      </w:pPr>
      <w:rPr>
        <w:rFonts w:hint="default" w:ascii="Wingdings" w:hAnsi="Wingdings"/>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4607A"/>
    <w:rsid w:val="0A8B7945"/>
    <w:rsid w:val="0C065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29</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2021-03-04T13:55:02Z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