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736"/>
        <w:gridCol w:w="10777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84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77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管理层  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刘金生          </w:t>
            </w:r>
            <w:r>
              <w:rPr>
                <w:rFonts w:hint="eastAsia"/>
                <w:sz w:val="24"/>
                <w:szCs w:val="24"/>
              </w:rPr>
              <w:t>/陪同人员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藏天佑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84" w:type="dxa"/>
            <w:vMerge w:val="continue"/>
            <w:vAlign w:val="center"/>
          </w:tcPr>
          <w:p/>
        </w:tc>
        <w:tc>
          <w:tcPr>
            <w:tcW w:w="736" w:type="dxa"/>
            <w:vMerge w:val="continue"/>
            <w:vAlign w:val="center"/>
          </w:tcPr>
          <w:p/>
        </w:tc>
        <w:tc>
          <w:tcPr>
            <w:tcW w:w="10777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周涛、</w:t>
            </w:r>
            <w:r>
              <w:rPr>
                <w:rFonts w:hint="eastAsia"/>
                <w:sz w:val="24"/>
                <w:szCs w:val="24"/>
              </w:rPr>
              <w:t>杨化伟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2021.1.16</w:t>
            </w:r>
          </w:p>
        </w:tc>
        <w:tc>
          <w:tcPr>
            <w:tcW w:w="81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84" w:type="dxa"/>
            <w:vMerge w:val="continue"/>
            <w:vAlign w:val="center"/>
          </w:tcPr>
          <w:p/>
        </w:tc>
        <w:tc>
          <w:tcPr>
            <w:tcW w:w="736" w:type="dxa"/>
            <w:vMerge w:val="continue"/>
            <w:vAlign w:val="center"/>
          </w:tcPr>
          <w:p/>
        </w:tc>
        <w:tc>
          <w:tcPr>
            <w:tcW w:w="1077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81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1.了解组织的基本情况，确认并收集企业资质和许可；</w:t>
            </w:r>
          </w:p>
        </w:tc>
        <w:tc>
          <w:tcPr>
            <w:tcW w:w="736" w:type="dxa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4.1</w:t>
            </w:r>
          </w:p>
        </w:tc>
        <w:tc>
          <w:tcPr>
            <w:tcW w:w="10777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临沂正合热能科技有限公司成立于2014年12月11日，注册地位于山东省临沂市临沭县青云镇赵窝村东南240米，法定代表人为刘金生。经营范围包括锅炉技术研发；锅炉生产、销售。(依法须经批准的项目，经相关部门批准后方可开展经营活动)。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营业执照代码：91371329348955553A</w:t>
            </w:r>
          </w:p>
        </w:tc>
        <w:tc>
          <w:tcPr>
            <w:tcW w:w="812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84" w:type="dxa"/>
          </w:tcPr>
          <w:p>
            <w:r>
              <w:rPr>
                <w:rFonts w:hint="eastAsia"/>
                <w:szCs w:val="21"/>
                <w:lang w:val="en-US" w:eastAsia="zh-CN"/>
              </w:rPr>
              <w:t>2.了解组织的质量管理体系文件的情况；</w:t>
            </w:r>
          </w:p>
        </w:tc>
        <w:tc>
          <w:tcPr>
            <w:tcW w:w="736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</w:t>
            </w:r>
          </w:p>
        </w:tc>
        <w:tc>
          <w:tcPr>
            <w:tcW w:w="10777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编制有质量手册、程序文件、作业文件以及相应的记录 ，还有产品的标准和相应的法律法规等，管理体系文件能够满足要求。</w:t>
            </w:r>
          </w:p>
        </w:tc>
        <w:tc>
          <w:tcPr>
            <w:tcW w:w="81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384" w:type="dxa"/>
          </w:tcPr>
          <w:p>
            <w:r>
              <w:rPr>
                <w:rFonts w:hint="eastAsia"/>
                <w:szCs w:val="21"/>
                <w:lang w:val="en-US" w:eastAsia="zh-CN"/>
              </w:rPr>
              <w:t>3.受审核方体系的策划是否基于风险的思维，识别的主要风险及控制策划情况，策划是否与受审核方内外部环境、相关方的需求和期望及实际情况相一致性；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受审核方体系的策划基于风险的思维，建立了基于风险的识别、评价、控制文件，识别的主要风险及控制策划，策划了受审核方内外部环境、相关方的需求和期望，经现场查看与实际情况相一致性；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受审核方体系的策划是否基于风险的思维，识别的主要风险及控制策划情况，策划是否与受审核方内外部环境、相关方的需求和期望及实际情况相一致性；</w:t>
            </w:r>
          </w:p>
          <w:p>
            <w:r>
              <w:rPr>
                <w:rFonts w:hint="eastAsia" w:cs="宋体"/>
              </w:rPr>
              <w:t>编制了《风险和机遇控制程序》。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查见《风险与机遇控制计划》，确定了组织需应对的风险和机遇。如：产能不足风险，售出成品出现质量问题的风险；通过提高生产效率，适当扩充生产线，制定召回方案，进行召回演练来控制风险。组织考虑了市场增长迅速，市场需求量加大的机遇，通过提高产量质量，积极研发新产品扩大市场占有率。组织在确定这些风险和机遇时，考虑了员工岗位技能、生产能力、市场需求等内外部因素及合同方（顾客）的相关要求。评审情况均为符合发展要求，评审人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刘金生</w:t>
            </w:r>
            <w:r>
              <w:rPr>
                <w:rFonts w:hint="eastAsia"/>
                <w:sz w:val="21"/>
                <w:szCs w:val="21"/>
              </w:rPr>
              <w:t>，评审时间：20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20.9.20</w:t>
            </w:r>
            <w:r>
              <w:rPr>
                <w:rFonts w:hint="eastAsia"/>
                <w:sz w:val="21"/>
                <w:szCs w:val="21"/>
              </w:rPr>
              <w:t>措施正在实施中。</w:t>
            </w:r>
          </w:p>
        </w:tc>
        <w:tc>
          <w:tcPr>
            <w:tcW w:w="812" w:type="dxa"/>
          </w:tcPr>
          <w:p/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4.了解组织结构，作用、职责和权限的规定，资源配置，经营绩效状况，作息时间，倒班情况；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公司对组织机构进行了设置和安排，有管理层、办公室、生产部、供销部，并对上述部门的职责在手册中进行了规定，资源配置有生产设备、办公设备等，今年来公司经营绩效良好。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作息时间：8：00-17：00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倒班：大白班。</w:t>
            </w:r>
          </w:p>
        </w:tc>
        <w:tc>
          <w:tcPr>
            <w:tcW w:w="812" w:type="dxa"/>
          </w:tcPr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5.了解组织方针和目标的建立情况，及目标考核情况；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质量目标：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⑴成品一次检验合格率98％以上；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⑵顾客满意率达98％以上。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质量目标分解：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 xml:space="preserve">出厂检验率：        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100%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进料检验率：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 xml:space="preserve">       100%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成品一次交检合格率：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≥98%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 xml:space="preserve">生产计划完成率：    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100%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及时交货率：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 xml:space="preserve">        100%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制定的目标基本符合本部门实际。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通过加强现场检查、合理编制生产计划及认真组织实施等措施，保证质量目标的实现。通过加强现场检查、合理编制生产计划及认真组织实施等措施，保证质量目标的实现。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提供了10-12月份《质量目标完成情况统计表》，均完成了质量目标，统计人：藏天佑，2021-1-3.</w:t>
            </w:r>
          </w:p>
        </w:tc>
        <w:tc>
          <w:tcPr>
            <w:tcW w:w="812" w:type="dxa"/>
          </w:tcPr>
          <w:p/>
          <w:p/>
          <w:p/>
          <w:p/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6.确认组织管理体系认证范围及产品、过程和场所的相关信息；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认证产品为：小型锅炉和常压热水锅炉；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工艺过程：制图-下料-焊接-组装-试验；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注册地址：山东省临沂市临沭县青云镇工业园（S225省道东侧，临沂青云山管理有限公司对过）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生产场所：上元钢铁院内。</w:t>
            </w:r>
          </w:p>
        </w:tc>
        <w:tc>
          <w:tcPr>
            <w:tcW w:w="812" w:type="dxa"/>
          </w:tcPr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7.了解并确认是否有外包过程、分包场所等；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经了解公司没有外包；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8.确认适用法律、法规的识别及遵循情况；收集国家或地方政府监督检查信息；顾客投诉及处理的相关信息；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提供《法律法规清单》，主要是中华人民共和国产品质量法、中华人民共和国消费者权益保障法、中华人民共和国合同法等。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近年来没有</w:t>
            </w:r>
            <w:r>
              <w:rPr>
                <w:rFonts w:hint="eastAsia"/>
                <w:szCs w:val="21"/>
                <w:lang w:val="en-US" w:eastAsia="zh-CN"/>
              </w:rPr>
              <w:t>国家或地方政府监督检查情况；页没有顾客投诉；</w:t>
            </w:r>
          </w:p>
        </w:tc>
        <w:tc>
          <w:tcPr>
            <w:tcW w:w="812" w:type="dxa"/>
          </w:tcPr>
          <w:p/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.确认组织体系覆盖的实际人数；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r>
              <w:rPr>
                <w:rFonts w:hint="eastAsia"/>
                <w:lang w:val="en-US" w:eastAsia="zh-CN"/>
              </w:rPr>
              <w:t>公司现有人员：20人；</w:t>
            </w:r>
          </w:p>
        </w:tc>
        <w:tc>
          <w:tcPr>
            <w:tcW w:w="81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</w:rPr>
              <w:t>核实部门岗位设置，作用、职责、权限规定合理性；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公司对组织机构进行了设置和安排，有管理层、办公室、生产部、供销部，并对上述部门的职责在手册中进行了规定，设置合理；</w:t>
            </w:r>
          </w:p>
        </w:tc>
        <w:tc>
          <w:tcPr>
            <w:tcW w:w="81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.了解产品执行标准、检验规范、确认需确认过程和关键过程，判断需确认过程识别的充分性、合理性以及控制措施的合理性；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JB/T7985-2002《常压锅炉通用技术条件》；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确认的过程为：焊接过程；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以及对焊接进行了确认，确认充分、合理，控制有效；</w:t>
            </w:r>
          </w:p>
        </w:tc>
        <w:tc>
          <w:tcPr>
            <w:tcW w:w="812" w:type="dxa"/>
          </w:tcPr>
          <w:p/>
          <w:p/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.设计和开发过程的合理性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公司按照JB/T7985-2002《常压锅炉通用技术条件》；标准生产，不存在设计开发过程；</w:t>
            </w:r>
            <w:r>
              <w:rPr>
                <w:rFonts w:hint="eastAsia"/>
                <w:color w:val="0000FF"/>
                <w:lang w:val="en-US" w:eastAsia="zh-CN"/>
              </w:rPr>
              <w:t>删减8.3条款，删减</w:t>
            </w:r>
            <w:r>
              <w:rPr>
                <w:rFonts w:hint="eastAsia"/>
                <w:color w:val="0000FF"/>
                <w:szCs w:val="22"/>
                <w:lang w:val="en-US" w:eastAsia="zh-CN"/>
              </w:rPr>
              <w:t>合理，删减后不会对体系产生影响。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3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.设备设施种类及数量，确认特种设备的种类、数量等，并核实定期检定情况；了解组织监视和测量设备的配备情况（种类、规格、数量）和定期检定情况。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公司主要有电焊机5台、切割机2台、没有特种设备，监视和测量设备有钢卷尺、千分尺，经现场查看，监视和测量设备没有进行检定/校准。</w:t>
            </w:r>
          </w:p>
        </w:tc>
        <w:tc>
          <w:tcPr>
            <w:tcW w:w="812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.了解特种作业人员的种类及上岗资格。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焊工、电工。</w:t>
            </w:r>
          </w:p>
        </w:tc>
        <w:tc>
          <w:tcPr>
            <w:tcW w:w="812" w:type="dxa"/>
          </w:tcPr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.了解组织内部审核和管理评审的策划和实施情况；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以及进行了内部审核和管理评审。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内部审核时间：2020.12.13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管理评审时间：2020.12.18</w:t>
            </w:r>
          </w:p>
        </w:tc>
        <w:tc>
          <w:tcPr>
            <w:tcW w:w="812" w:type="dxa"/>
          </w:tcPr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38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.了解组织管理体系建立、实施运行程度并确认是否为二阶段审核做好了准备；</w:t>
            </w:r>
          </w:p>
        </w:tc>
        <w:tc>
          <w:tcPr>
            <w:tcW w:w="736" w:type="dxa"/>
          </w:tcPr>
          <w:p/>
        </w:tc>
        <w:tc>
          <w:tcPr>
            <w:tcW w:w="10777" w:type="dxa"/>
          </w:tcPr>
          <w:p>
            <w:r>
              <w:rPr>
                <w:rFonts w:hint="eastAsia"/>
                <w:szCs w:val="21"/>
                <w:lang w:val="en-US" w:eastAsia="zh-CN"/>
              </w:rPr>
              <w:t>经过三个月的试运行</w:t>
            </w:r>
            <w:r>
              <w:rPr>
                <w:rFonts w:hint="eastAsia"/>
                <w:szCs w:val="21"/>
              </w:rPr>
              <w:t>组织管理体系建立、实施运行</w:t>
            </w:r>
            <w:r>
              <w:rPr>
                <w:rFonts w:hint="eastAsia"/>
                <w:szCs w:val="21"/>
                <w:lang w:val="en-US" w:eastAsia="zh-CN"/>
              </w:rPr>
              <w:t>基本符合标准的要求，还需要进一步深入贯彻实施，企业已经做好了</w:t>
            </w:r>
            <w:r>
              <w:rPr>
                <w:rFonts w:hint="eastAsia"/>
                <w:szCs w:val="21"/>
              </w:rPr>
              <w:t>二阶段审核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准备</w:t>
            </w:r>
            <w:r>
              <w:rPr>
                <w:rFonts w:hint="eastAsia"/>
                <w:szCs w:val="21"/>
                <w:lang w:val="en-US" w:eastAsia="zh-CN"/>
              </w:rPr>
              <w:t>工作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81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1FB3559"/>
    <w:rsid w:val="1BD24E8C"/>
    <w:rsid w:val="4EDF583F"/>
    <w:rsid w:val="54050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2021-03-07T05:42:48Z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