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Times New Roman" w:hAnsi="Times New Roman" w:cs="Times New Roman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-1124585</wp:posOffset>
            </wp:positionV>
            <wp:extent cx="6889115" cy="10357485"/>
            <wp:effectExtent l="0" t="0" r="6985" b="5715"/>
            <wp:wrapNone/>
            <wp:docPr id="2" name="图片 2" descr="扫描全能王 2021-01-11 15.36.45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36.45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9115" cy="1035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0166-2019-2021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陕西缔忠罡制造有限公司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技术质量部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刘万里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查技术质量部编号131102844千分尺校准证书，没有千分尺校正杆的溯源结果。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u w:val="single"/>
                <w:lang w:val="en-US" w:eastAsia="zh-CN"/>
              </w:rPr>
              <w:t>GB/T9022标准7.3.2条款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4802" w:firstLineChars="22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由技术质量部负责于外部校准机构联系，落实该校准结果，并对其他类似情况进行举一反三。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5F06B7"/>
    <w:rsid w:val="1B3F28BF"/>
    <w:rsid w:val="2EA25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6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2021-01-11T08:21:26Z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