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w:t>
      </w:r>
      <w:r>
        <w:rPr>
          <w:rFonts w:hint="eastAsia" w:ascii="宋体" w:hAnsi="宋体"/>
          <w:sz w:val="24"/>
          <w:lang w:eastAsia="zh-CN"/>
        </w:rPr>
        <w:t>行政部、业务部、运输部</w:t>
      </w:r>
      <w:r>
        <w:rPr>
          <w:rFonts w:hint="eastAsia"/>
          <w:sz w:val="24"/>
          <w:szCs w:val="24"/>
        </w:rPr>
        <w:t>，陪</w:t>
      </w:r>
      <w:r>
        <w:rPr>
          <w:rFonts w:hint="eastAsia" w:ascii="宋体" w:hAnsi="宋体"/>
          <w:sz w:val="24"/>
          <w:szCs w:val="22"/>
        </w:rPr>
        <w:t>同人员：</w:t>
      </w:r>
      <w:r>
        <w:rPr>
          <w:rFonts w:hint="eastAsia" w:ascii="宋体" w:hAnsi="宋体"/>
          <w:sz w:val="24"/>
          <w:szCs w:val="22"/>
          <w:lang w:eastAsia="zh-CN"/>
        </w:rPr>
        <w:t>周开强</w:t>
      </w:r>
      <w:r>
        <w:rPr>
          <w:rFonts w:hint="eastAsia" w:ascii="宋体" w:hAnsi="宋体"/>
          <w:sz w:val="24"/>
          <w:szCs w:val="22"/>
        </w:rPr>
        <w:t>，审核</w:t>
      </w:r>
      <w:r>
        <w:rPr>
          <w:rFonts w:hint="eastAsia"/>
          <w:sz w:val="24"/>
          <w:szCs w:val="24"/>
        </w:rPr>
        <w:t>员：文平</w:t>
      </w:r>
      <w:r>
        <w:rPr>
          <w:rFonts w:hint="eastAsia"/>
          <w:sz w:val="24"/>
          <w:szCs w:val="24"/>
          <w:lang w:eastAsia="zh-CN"/>
        </w:rPr>
        <w:t>、张心</w:t>
      </w:r>
      <w:r>
        <w:rPr>
          <w:rFonts w:hint="eastAsia"/>
          <w:sz w:val="24"/>
          <w:szCs w:val="24"/>
        </w:rPr>
        <w:t>，审核时间：202</w:t>
      </w:r>
      <w:r>
        <w:rPr>
          <w:rFonts w:hint="eastAsia"/>
          <w:sz w:val="24"/>
          <w:szCs w:val="24"/>
          <w:lang w:val="en-US" w:eastAsia="zh-CN"/>
        </w:rPr>
        <w:t>1</w:t>
      </w:r>
      <w:r>
        <w:rPr>
          <w:rFonts w:hint="eastAsia"/>
          <w:sz w:val="24"/>
          <w:szCs w:val="24"/>
        </w:rPr>
        <w:t>年1月</w:t>
      </w:r>
      <w:r>
        <w:rPr>
          <w:rFonts w:hint="eastAsia"/>
          <w:sz w:val="24"/>
          <w:szCs w:val="24"/>
          <w:lang w:val="en-US" w:eastAsia="zh-CN"/>
        </w:rPr>
        <w:t>1</w:t>
      </w:r>
      <w:r>
        <w:rPr>
          <w:rFonts w:hint="eastAsia"/>
          <w:sz w:val="24"/>
          <w:szCs w:val="24"/>
        </w:rPr>
        <w:t>日</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宋体" w:hAnsi="宋体"/>
                <w:szCs w:val="21"/>
              </w:rPr>
            </w:pPr>
            <w:r>
              <w:rPr>
                <w:rFonts w:hint="eastAsia" w:ascii="宋体" w:hAnsi="宋体"/>
                <w:szCs w:val="21"/>
              </w:rPr>
              <w:t>审核员</w:t>
            </w:r>
          </w:p>
        </w:tc>
        <w:tc>
          <w:tcPr>
            <w:tcW w:w="9749" w:type="dxa"/>
            <w:shd w:val="clear" w:color="auto" w:fill="E6E6E6"/>
            <w:noWrap/>
            <w:vAlign w:val="center"/>
          </w:tcPr>
          <w:p>
            <w:pPr>
              <w:spacing w:line="0" w:lineRule="atLeast"/>
              <w:jc w:val="center"/>
              <w:rPr>
                <w:rFonts w:ascii="宋体" w:hAnsi="宋体"/>
                <w:szCs w:val="21"/>
              </w:rPr>
            </w:pPr>
            <w:r>
              <w:rPr>
                <w:rFonts w:hint="eastAsia" w:ascii="宋体" w:hAnsi="宋体"/>
                <w:szCs w:val="21"/>
              </w:rPr>
              <w:t>文平</w:t>
            </w:r>
          </w:p>
        </w:tc>
        <w:tc>
          <w:tcPr>
            <w:tcW w:w="893" w:type="dxa"/>
            <w:shd w:val="clear" w:color="auto" w:fill="E6E6E6"/>
            <w:noWrap/>
            <w:vAlign w:val="center"/>
          </w:tcPr>
          <w:p>
            <w:pPr>
              <w:spacing w:line="0" w:lineRule="atLeast"/>
              <w:jc w:val="center"/>
              <w:rPr>
                <w:rFonts w:ascii="宋体" w:hAnsi="宋体"/>
                <w:szCs w:val="21"/>
              </w:rPr>
            </w:pPr>
          </w:p>
        </w:tc>
        <w:tc>
          <w:tcPr>
            <w:tcW w:w="800" w:type="dxa"/>
            <w:shd w:val="clear" w:color="auto" w:fill="E6E6E6"/>
            <w:noWrap/>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EMS审核，询问有无以下场所</w:t>
            </w:r>
          </w:p>
          <w:p>
            <w:pPr>
              <w:spacing w:line="400" w:lineRule="exact"/>
              <w:rPr>
                <w:szCs w:val="21"/>
              </w:rPr>
            </w:pPr>
            <w:r>
              <w:rPr>
                <w:rFonts w:hint="eastAsia"/>
                <w:szCs w:val="21"/>
              </w:rPr>
              <w:t>锅炉房、配电室、实验室、化学品库、污水处理站、食堂、宿舍、空压机房</w:t>
            </w:r>
          </w:p>
          <w:p>
            <w:pPr>
              <w:spacing w:line="400" w:lineRule="exact"/>
              <w:rPr>
                <w:szCs w:val="21"/>
              </w:rPr>
            </w:pPr>
            <w:r>
              <w:rPr>
                <w:rFonts w:hint="eastAsia"/>
                <w:szCs w:val="21"/>
              </w:rPr>
              <w:t>OHSMS审核，询问有无以下场所，高处作业、铅冶炼、高粉尘作业、机械加工、压力容器操作、有毒化学品车间、危险化学品仓库和储存罐区</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ascii="宋体" w:hAnsi="宋体"/>
                <w:szCs w:val="21"/>
              </w:rPr>
            </w:pPr>
            <w:r>
              <w:rPr>
                <w:rFonts w:hint="eastAsia" w:ascii="宋体" w:hAnsi="宋体"/>
                <w:szCs w:val="21"/>
              </w:rPr>
              <w:t>四川尼希米物流有限公司具有多年大宗原材料，鲜活冷链，食品及包装运输经验。公司自成立以来，我们就一直将“安全运输、优价运输”作为服务追求的目标。通过完善的安全风险管控体系、一整套成熟的内部流程和技术手段，无论是在运营效率、服务质量、资源整合、成本控制、服务保障上得到了客户的极力认可，是同行业竞争对手无可比拟的优秀团队。为切实保障客户方的物流配套服务，我司将密切配合客户服务要求，做好资源优化整合、控降成本，为客户带来标准化、集约化的物流配套服务。</w:t>
            </w:r>
          </w:p>
          <w:p>
            <w:pPr>
              <w:spacing w:line="400" w:lineRule="exact"/>
              <w:ind w:firstLine="420" w:firstLineChars="200"/>
              <w:jc w:val="left"/>
              <w:rPr>
                <w:rFonts w:hint="eastAsia" w:ascii="宋体" w:hAnsi="宋体" w:eastAsia="宋体"/>
                <w:szCs w:val="21"/>
                <w:lang w:eastAsia="zh-CN"/>
              </w:rPr>
            </w:pPr>
            <w:r>
              <w:rPr>
                <w:rFonts w:hint="eastAsia" w:ascii="宋体" w:hAnsi="宋体"/>
                <w:szCs w:val="21"/>
              </w:rPr>
              <w:t>该公司目前成立了四个部门：</w:t>
            </w:r>
            <w:r>
              <w:rPr>
                <w:rFonts w:hint="eastAsia" w:ascii="宋体" w:hAnsi="宋体"/>
                <w:szCs w:val="21"/>
                <w:lang w:eastAsia="zh-CN"/>
              </w:rPr>
              <w:t>管理层、行政部、业务部、运输部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经现场审核核实：任务书场所位于</w:t>
            </w:r>
            <w:r>
              <w:rPr>
                <w:rFonts w:hint="eastAsia"/>
                <w:lang w:eastAsia="zh-CN"/>
              </w:rPr>
              <w:t>成都市新都区中集大道227号通祥物流园2栋3-316</w:t>
            </w:r>
            <w:r>
              <w:rPr>
                <w:rFonts w:hint="eastAsia" w:ascii="宋体" w:hAnsi="宋体"/>
                <w:szCs w:val="21"/>
              </w:rPr>
              <w:t>，与任务书一致。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r>
              <w:rPr>
                <w:rFonts w:hint="eastAsia" w:ascii="宋体" w:hAnsi="宋体"/>
                <w:szCs w:val="21"/>
                <w:lang w:eastAsia="zh-CN"/>
              </w:rPr>
              <w:t>资质范围内普通货运、货物专用运输</w:t>
            </w:r>
            <w:r>
              <w:rPr>
                <w:rFonts w:hint="eastAsia" w:ascii="宋体" w:hAnsi="宋体"/>
                <w:szCs w:val="21"/>
              </w:rPr>
              <w:t>，与申请范围一致。</w:t>
            </w:r>
          </w:p>
          <w:p>
            <w:pPr>
              <w:spacing w:line="400" w:lineRule="exact"/>
              <w:ind w:firstLine="420" w:firstLineChars="200"/>
              <w:jc w:val="left"/>
              <w:rPr>
                <w:rFonts w:ascii="宋体" w:hAnsi="宋体"/>
                <w:szCs w:val="21"/>
              </w:rPr>
            </w:pPr>
            <w:r>
              <w:rPr>
                <w:rFonts w:hint="eastAsia" w:ascii="宋体" w:hAnsi="宋体"/>
                <w:szCs w:val="21"/>
              </w:rPr>
              <w:t>经确认，企业人数为</w:t>
            </w:r>
            <w:r>
              <w:rPr>
                <w:rFonts w:hint="eastAsia" w:ascii="宋体" w:hAnsi="宋体"/>
                <w:szCs w:val="21"/>
                <w:lang w:val="en-US" w:eastAsia="zh-CN"/>
              </w:rPr>
              <w:t>43</w:t>
            </w:r>
            <w:r>
              <w:rPr>
                <w:rFonts w:hint="eastAsia" w:ascii="宋体" w:hAnsi="宋体"/>
                <w:szCs w:val="21"/>
              </w:rPr>
              <w:t>人，与申报一致</w:t>
            </w:r>
          </w:p>
          <w:p>
            <w:pPr>
              <w:pStyle w:val="2"/>
            </w:pPr>
            <w:r>
              <w:rPr>
                <w:rFonts w:hint="eastAsia" w:ascii="宋体" w:hAnsi="宋体"/>
                <w:szCs w:val="21"/>
              </w:rPr>
              <w:t xml:space="preserve">    现场查看公司营业执照有效，道路运输许可证有效。</w:t>
            </w:r>
          </w:p>
          <w:p>
            <w:pPr>
              <w:spacing w:line="400" w:lineRule="exact"/>
              <w:ind w:firstLine="420" w:firstLineChars="200"/>
              <w:jc w:val="left"/>
              <w:rPr>
                <w:rFonts w:ascii="宋体" w:hAnsi="宋体"/>
                <w:szCs w:val="21"/>
              </w:rPr>
            </w:pPr>
            <w:r>
              <w:rPr>
                <w:rFonts w:hint="eastAsia" w:ascii="宋体" w:hAnsi="宋体"/>
                <w:szCs w:val="21"/>
              </w:rPr>
              <w:t>询问负责人，主要设备为电话、电脑、网络、办公设备、运输车辆等，关键/特殊过程：运输服务过程。体系运行时间：2020年</w:t>
            </w:r>
            <w:r>
              <w:rPr>
                <w:rFonts w:hint="eastAsia" w:ascii="宋体" w:hAnsi="宋体"/>
                <w:szCs w:val="21"/>
                <w:lang w:val="en-US" w:eastAsia="zh-CN"/>
              </w:rPr>
              <w:t>5</w:t>
            </w:r>
            <w:r>
              <w:rPr>
                <w:rFonts w:hint="eastAsia" w:ascii="宋体" w:hAnsi="宋体"/>
                <w:szCs w:val="21"/>
              </w:rPr>
              <w:t>月10日。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w:t>
            </w:r>
            <w:r>
              <w:rPr>
                <w:rFonts w:hint="eastAsia" w:ascii="宋体" w:hAnsi="宋体"/>
                <w:szCs w:val="21"/>
                <w:lang w:eastAsia="zh-CN"/>
              </w:rPr>
              <w:t>管理层、行政部、业务部、运输部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服务流程见《业务流程图》</w:t>
            </w:r>
          </w:p>
          <w:p>
            <w:pPr>
              <w:spacing w:line="400" w:lineRule="exact"/>
              <w:ind w:firstLine="420" w:firstLineChars="200"/>
              <w:jc w:val="left"/>
              <w:rPr>
                <w:rFonts w:ascii="宋体" w:hAnsi="宋体"/>
                <w:szCs w:val="21"/>
              </w:rPr>
            </w:pPr>
            <w:r>
              <w:rPr>
                <w:rFonts w:hint="eastAsia" w:ascii="宋体" w:hAnsi="宋体"/>
                <w:szCs w:val="21"/>
              </w:rPr>
              <w:t>关键/确认过程：运输服务过程，也是特殊过程。</w:t>
            </w:r>
          </w:p>
          <w:p>
            <w:pPr>
              <w:spacing w:line="400" w:lineRule="exact"/>
              <w:ind w:firstLine="420" w:firstLineChars="200"/>
              <w:jc w:val="left"/>
              <w:rPr>
                <w:szCs w:val="21"/>
              </w:rPr>
            </w:pPr>
            <w:r>
              <w:rPr>
                <w:rFonts w:hint="eastAsia" w:ascii="宋体" w:hAnsi="宋体"/>
                <w:szCs w:val="21"/>
              </w:rPr>
              <w:t>查，管理体系文件名称：质量手册，程序文件1</w:t>
            </w:r>
            <w:r>
              <w:rPr>
                <w:rFonts w:hint="eastAsia" w:ascii="宋体" w:hAnsi="宋体"/>
                <w:szCs w:val="21"/>
                <w:lang w:val="en-US" w:eastAsia="zh-CN"/>
              </w:rPr>
              <w:t>6</w:t>
            </w:r>
            <w:r>
              <w:rPr>
                <w:rFonts w:hint="eastAsia" w:ascii="宋体" w:hAnsi="宋体"/>
                <w:szCs w:val="21"/>
              </w:rPr>
              <w:t>个。</w:t>
            </w:r>
          </w:p>
        </w:tc>
        <w:tc>
          <w:tcPr>
            <w:tcW w:w="893" w:type="dxa"/>
            <w:noWra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执行的服务标准（QMS）</w:t>
            </w:r>
          </w:p>
          <w:p>
            <w:pPr>
              <w:spacing w:line="400" w:lineRule="exact"/>
              <w:rPr>
                <w:szCs w:val="21"/>
              </w:rPr>
            </w:pPr>
          </w:p>
          <w:p>
            <w:pPr>
              <w:spacing w:line="400" w:lineRule="exact"/>
              <w:rPr>
                <w:szCs w:val="21"/>
              </w:rPr>
            </w:pPr>
          </w:p>
          <w:p>
            <w:pPr>
              <w:pStyle w:val="2"/>
            </w:pPr>
          </w:p>
          <w:p>
            <w:pPr>
              <w:spacing w:line="400" w:lineRule="exact"/>
              <w:rPr>
                <w:szCs w:val="21"/>
              </w:rPr>
            </w:pPr>
            <w:r>
              <w:rPr>
                <w:rFonts w:hint="eastAsia"/>
                <w:szCs w:val="21"/>
              </w:rPr>
              <w:t>服务质量监督抽查情况（QMS）</w:t>
            </w:r>
          </w:p>
        </w:tc>
        <w:tc>
          <w:tcPr>
            <w:tcW w:w="9749" w:type="dxa"/>
            <w:noWrap/>
          </w:tcPr>
          <w:p>
            <w:pPr>
              <w:spacing w:line="400" w:lineRule="exact"/>
              <w:rPr>
                <w:szCs w:val="21"/>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w:t>
            </w:r>
            <w:r>
              <w:rPr>
                <w:rFonts w:hint="eastAsia" w:ascii="宋体" w:hAnsi="宋体" w:cs="Arial"/>
                <w:szCs w:val="21"/>
                <w:shd w:val="clear" w:color="auto" w:fill="FFFFFF"/>
              </w:rPr>
              <w:t>服务</w:t>
            </w:r>
            <w:r>
              <w:rPr>
                <w:rFonts w:ascii="宋体" w:hAnsi="宋体" w:cs="Arial"/>
                <w:szCs w:val="21"/>
                <w:shd w:val="clear" w:color="auto" w:fill="FFFFFF"/>
              </w:rPr>
              <w:t>质量法</w:t>
            </w:r>
            <w:r>
              <w:rPr>
                <w:rFonts w:hint="eastAsia" w:ascii="宋体" w:hAnsi="宋体" w:cs="Arial"/>
                <w:szCs w:val="21"/>
                <w:shd w:val="clear" w:color="auto" w:fill="FFFFFF"/>
              </w:rPr>
              <w:t>、</w:t>
            </w:r>
            <w:r>
              <w:rPr>
                <w:rFonts w:hint="eastAsia" w:ascii="宋体" w:hAnsi="宋体" w:cs="宋体"/>
                <w:szCs w:val="21"/>
              </w:rPr>
              <w:t>中华人民共和国消费者权益法、中华人民共和国道路运输法</w:t>
            </w:r>
            <w:r>
              <w:rPr>
                <w:rFonts w:hint="eastAsia" w:ascii="宋体" w:hAnsi="宋体"/>
                <w:szCs w:val="21"/>
              </w:rPr>
              <w:t>等</w:t>
            </w:r>
          </w:p>
          <w:p>
            <w:pPr>
              <w:spacing w:line="400" w:lineRule="exact"/>
              <w:rPr>
                <w:szCs w:val="21"/>
              </w:rPr>
            </w:pPr>
          </w:p>
          <w:p>
            <w:pPr>
              <w:spacing w:line="400" w:lineRule="exact"/>
              <w:rPr>
                <w:szCs w:val="21"/>
              </w:rPr>
            </w:pPr>
            <w:r>
              <w:rPr>
                <w:rFonts w:hint="eastAsia"/>
                <w:szCs w:val="21"/>
              </w:rPr>
              <w:t>汽车运输货物条码编码规则JT/T648-2006、货运挂车产品质量检查 试验规程</w:t>
            </w:r>
            <w:r>
              <w:fldChar w:fldCharType="begin"/>
            </w:r>
            <w:r>
              <w:instrText xml:space="preserve"> HYPERLINK "http://www.csres.com/detail/53209.html" \t "http://www.csres.com/_blank" </w:instrText>
            </w:r>
            <w:r>
              <w:fldChar w:fldCharType="separate"/>
            </w:r>
            <w:r>
              <w:rPr>
                <w:rFonts w:hint="default"/>
              </w:rPr>
              <w:t>GB/T13872-2002</w:t>
            </w:r>
            <w:r>
              <w:rPr>
                <w:rFonts w:hint="default"/>
              </w:rPr>
              <w:fldChar w:fldCharType="end"/>
            </w:r>
            <w:r>
              <w:rPr>
                <w:rFonts w:hint="eastAsia"/>
                <w:szCs w:val="21"/>
              </w:rPr>
              <w:t>、</w:t>
            </w:r>
            <w:r>
              <w:t>道路车辆 货运挂车试验方法</w:t>
            </w:r>
            <w:r>
              <w:fldChar w:fldCharType="begin"/>
            </w:r>
            <w:r>
              <w:instrText xml:space="preserve"> HYPERLINK "http://www.csres.com/detail/274230.html" \t "http://www.csres.com/_blank" </w:instrText>
            </w:r>
            <w:r>
              <w:fldChar w:fldCharType="separate"/>
            </w:r>
            <w:r>
              <w:rPr>
                <w:rFonts w:hint="default"/>
              </w:rPr>
              <w:t>GB/T13873-2015</w:t>
            </w:r>
            <w:r>
              <w:rPr>
                <w:rFonts w:hint="default"/>
              </w:rPr>
              <w:fldChar w:fldCharType="end"/>
            </w:r>
            <w:r>
              <w:rPr>
                <w:rFonts w:hint="eastAsia"/>
                <w:szCs w:val="21"/>
              </w:rPr>
              <w:t>、</w:t>
            </w:r>
            <w:r>
              <w:t>货运全挂车通用技术条件</w:t>
            </w:r>
            <w:r>
              <w:fldChar w:fldCharType="begin"/>
            </w:r>
            <w:r>
              <w:instrText xml:space="preserve"> HYPERLINK "http://www.csres.com/detail/57166.html" \t "http://www.csres.com/_blank" </w:instrText>
            </w:r>
            <w:r>
              <w:fldChar w:fldCharType="separate"/>
            </w:r>
            <w:r>
              <w:rPr>
                <w:rFonts w:hint="default"/>
              </w:rPr>
              <w:t>GB/T17275-1998</w:t>
            </w:r>
            <w:r>
              <w:rPr>
                <w:rFonts w:hint="default"/>
              </w:rPr>
              <w:fldChar w:fldCharType="end"/>
            </w:r>
            <w:r>
              <w:rPr>
                <w:rFonts w:hint="eastAsia"/>
                <w:szCs w:val="21"/>
              </w:rPr>
              <w:t>等</w:t>
            </w:r>
          </w:p>
          <w:p>
            <w:pPr>
              <w:pStyle w:val="2"/>
            </w:pPr>
          </w:p>
          <w:p>
            <w:pPr>
              <w:spacing w:line="400" w:lineRule="exact"/>
              <w:rPr>
                <w:szCs w:val="21"/>
              </w:rPr>
            </w:pPr>
            <w:r>
              <w:rPr>
                <w:rFonts w:hint="eastAsia" w:ascii="宋体" w:hAnsi="宋体" w:cs="宋体"/>
                <w:color w:val="000000" w:themeColor="text1"/>
                <w:szCs w:val="21"/>
              </w:rPr>
              <w:t>无。</w:t>
            </w:r>
          </w:p>
        </w:tc>
        <w:tc>
          <w:tcPr>
            <w:tcW w:w="893" w:type="dxa"/>
            <w:noWra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800" w:type="dxa"/>
            <w:noWra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szCs w:val="21"/>
              </w:rPr>
            </w:pPr>
            <w:r>
              <w:rPr>
                <w:rFonts w:hint="eastAsia"/>
                <w:szCs w:val="21"/>
              </w:rPr>
              <w:t>外包的识别</w:t>
            </w:r>
          </w:p>
          <w:p>
            <w:pPr>
              <w:spacing w:line="400" w:lineRule="exact"/>
              <w:rPr>
                <w:szCs w:val="21"/>
              </w:rPr>
            </w:pPr>
          </w:p>
          <w:p>
            <w:pPr>
              <w:spacing w:line="400" w:lineRule="exact"/>
              <w:rPr>
                <w:szCs w:val="21"/>
              </w:rPr>
            </w:pPr>
            <w:r>
              <w:rPr>
                <w:rFonts w:hint="eastAsia"/>
                <w:szCs w:val="21"/>
              </w:rPr>
              <w:t>质量目标（QMS）</w:t>
            </w:r>
          </w:p>
        </w:tc>
        <w:tc>
          <w:tcPr>
            <w:tcW w:w="9749" w:type="dxa"/>
            <w:noWrap/>
          </w:tcPr>
          <w:p>
            <w:pPr>
              <w:spacing w:line="400" w:lineRule="exact"/>
              <w:rPr>
                <w:szCs w:val="21"/>
              </w:rPr>
            </w:pPr>
            <w:r>
              <w:rPr>
                <w:rFonts w:hint="eastAsia"/>
                <w:szCs w:val="21"/>
              </w:rPr>
              <w:t>服务流程</w:t>
            </w:r>
          </w:p>
          <w:p>
            <w:pPr>
              <w:rPr>
                <w:sz w:val="20"/>
                <w:highlight w:val="none"/>
              </w:rPr>
            </w:pPr>
            <w:r>
              <w:rPr>
                <w:rFonts w:hint="eastAsia"/>
                <w:sz w:val="20"/>
                <w:highlight w:val="none"/>
              </w:rPr>
              <w:t>接单——车辆安排——提货——送货——客户签收</w:t>
            </w:r>
          </w:p>
          <w:p>
            <w:pPr>
              <w:spacing w:line="400" w:lineRule="exact"/>
              <w:rPr>
                <w:szCs w:val="21"/>
              </w:rPr>
            </w:pPr>
          </w:p>
          <w:p>
            <w:pPr>
              <w:spacing w:line="400" w:lineRule="exact"/>
              <w:rPr>
                <w:szCs w:val="21"/>
              </w:rPr>
            </w:pPr>
            <w:r>
              <w:rPr>
                <w:rFonts w:hint="eastAsia"/>
                <w:szCs w:val="21"/>
              </w:rPr>
              <w:t>公司都是按相关行业标准、以往运输经验及客户提供的运输方案进行运输服务，暂时没有新的运输方案的策划。因此8.3产品和服务的设计和开发不适用，不适用本条款不影响公司提供运输服务的质量及满足顾客及法律法规要求</w:t>
            </w:r>
          </w:p>
          <w:p>
            <w:pPr>
              <w:spacing w:line="400" w:lineRule="exact"/>
              <w:rPr>
                <w:szCs w:val="21"/>
              </w:rPr>
            </w:pPr>
            <w:r>
              <w:rPr>
                <w:rFonts w:hint="eastAsia"/>
                <w:szCs w:val="21"/>
              </w:rPr>
              <w:t>货车维修。</w:t>
            </w:r>
          </w:p>
          <w:p>
            <w:pPr>
              <w:spacing w:line="400" w:lineRule="exact"/>
              <w:rPr>
                <w:rFonts w:ascii="宋体" w:hAnsi="宋体"/>
                <w:szCs w:val="21"/>
              </w:rPr>
            </w:pPr>
          </w:p>
          <w:p>
            <w:pPr>
              <w:rPr>
                <w:rFonts w:ascii="宋体" w:hAnsi="宋体" w:cs="宋体"/>
                <w:szCs w:val="24"/>
              </w:rPr>
            </w:pPr>
            <w:r>
              <w:rPr>
                <w:rFonts w:hint="eastAsia" w:ascii="宋体" w:hAnsi="宋体" w:cs="宋体"/>
                <w:szCs w:val="24"/>
              </w:rPr>
              <w:t>根据公司产品和服务特点，确定公司的质量目标：</w:t>
            </w:r>
          </w:p>
          <w:p>
            <w:pPr>
              <w:tabs>
                <w:tab w:val="left" w:pos="703"/>
              </w:tabs>
              <w:ind w:left="420" w:leftChars="200"/>
              <w:rPr>
                <w:rFonts w:ascii="宋体" w:hAnsi="宋体"/>
                <w:szCs w:val="21"/>
              </w:rPr>
            </w:pPr>
            <w:r>
              <w:rPr>
                <w:rFonts w:hint="eastAsia" w:ascii="宋体" w:hAnsi="宋体"/>
                <w:szCs w:val="21"/>
              </w:rPr>
              <w:t>a）产品交付及时率100%</w:t>
            </w:r>
          </w:p>
          <w:p>
            <w:pPr>
              <w:tabs>
                <w:tab w:val="left" w:pos="703"/>
              </w:tabs>
              <w:ind w:left="420" w:leftChars="200"/>
              <w:rPr>
                <w:rFonts w:ascii="宋体" w:hAnsi="宋体"/>
                <w:szCs w:val="21"/>
              </w:rPr>
            </w:pPr>
            <w:r>
              <w:rPr>
                <w:rFonts w:hint="eastAsia" w:ascii="宋体" w:hAnsi="宋体"/>
                <w:szCs w:val="21"/>
              </w:rPr>
              <w:t>b）顾客满意度达到95分以上</w:t>
            </w:r>
          </w:p>
          <w:p>
            <w:pPr>
              <w:spacing w:line="400" w:lineRule="exact"/>
              <w:rPr>
                <w:szCs w:val="21"/>
              </w:rPr>
            </w:pPr>
            <w:r>
              <w:rPr>
                <w:rFonts w:hint="eastAsia"/>
                <w:szCs w:val="21"/>
              </w:rPr>
              <w:t>经2020年</w:t>
            </w:r>
            <w:r>
              <w:rPr>
                <w:rFonts w:hint="eastAsia"/>
                <w:szCs w:val="21"/>
                <w:lang w:val="en-US" w:eastAsia="zh-CN"/>
              </w:rPr>
              <w:t>6</w:t>
            </w:r>
            <w:r>
              <w:rPr>
                <w:rFonts w:hint="eastAsia"/>
                <w:szCs w:val="21"/>
              </w:rPr>
              <w:t>-</w:t>
            </w:r>
            <w:r>
              <w:rPr>
                <w:rFonts w:hint="eastAsia"/>
                <w:szCs w:val="21"/>
                <w:lang w:val="en-US" w:eastAsia="zh-CN"/>
              </w:rPr>
              <w:t>12</w:t>
            </w:r>
            <w:r>
              <w:rPr>
                <w:rFonts w:hint="eastAsia"/>
                <w:szCs w:val="21"/>
              </w:rPr>
              <w:t>月完成情况统计，均满足质量目标要求。</w:t>
            </w:r>
          </w:p>
        </w:tc>
        <w:tc>
          <w:tcPr>
            <w:tcW w:w="893" w:type="dxa"/>
            <w:noWrap/>
          </w:tcPr>
          <w:p>
            <w:pPr>
              <w:adjustRightInd w:val="0"/>
              <w:snapToGrid w:val="0"/>
              <w:rPr>
                <w:rFonts w:ascii="宋体" w:hAnsi="宋体"/>
                <w:szCs w:val="21"/>
              </w:rPr>
            </w:pPr>
            <w:r>
              <w:rPr>
                <w:rFonts w:hint="eastAsia" w:ascii="宋体" w:hAnsi="宋体"/>
                <w:szCs w:val="21"/>
              </w:rPr>
              <w:t>Q:8.1、8.2、8.3</w:t>
            </w:r>
          </w:p>
        </w:tc>
        <w:tc>
          <w:tcPr>
            <w:tcW w:w="800" w:type="dxa"/>
            <w:noWrap/>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rPr>
            </w:pPr>
            <w:r>
              <w:rPr>
                <w:rFonts w:hint="eastAsia"/>
                <w:szCs w:val="21"/>
              </w:rPr>
              <w:t>设计开发服务或项目名称</w:t>
            </w:r>
          </w:p>
          <w:p>
            <w:pPr>
              <w:spacing w:line="400" w:lineRule="exact"/>
              <w:rPr>
                <w:szCs w:val="21"/>
              </w:rPr>
            </w:pPr>
            <w:r>
              <w:rPr>
                <w:rFonts w:hint="eastAsia"/>
                <w:szCs w:val="21"/>
              </w:rPr>
              <w:t>主要原材料</w:t>
            </w:r>
          </w:p>
        </w:tc>
        <w:tc>
          <w:tcPr>
            <w:tcW w:w="9749" w:type="dxa"/>
            <w:noWrap/>
          </w:tcPr>
          <w:p>
            <w:pPr>
              <w:spacing w:line="400" w:lineRule="exact"/>
              <w:rPr>
                <w:szCs w:val="21"/>
              </w:rPr>
            </w:pPr>
            <w:r>
              <w:rPr>
                <w:rFonts w:hint="eastAsia"/>
                <w:szCs w:val="21"/>
              </w:rPr>
              <w:t>无</w:t>
            </w:r>
          </w:p>
          <w:p>
            <w:pPr>
              <w:spacing w:line="400" w:lineRule="exact"/>
              <w:rPr>
                <w:szCs w:val="21"/>
              </w:rPr>
            </w:pPr>
            <w:r>
              <w:rPr>
                <w:rFonts w:hint="eastAsia"/>
                <w:szCs w:val="21"/>
              </w:rPr>
              <w:t>汽油、</w:t>
            </w:r>
            <w:r>
              <w:rPr>
                <w:rFonts w:hint="eastAsia" w:ascii="宋体" w:hAnsi="宋体"/>
                <w:szCs w:val="21"/>
              </w:rPr>
              <w:t>汽车配件、劳保用品等</w:t>
            </w:r>
          </w:p>
        </w:tc>
        <w:tc>
          <w:tcPr>
            <w:tcW w:w="893" w:type="dxa"/>
            <w:noWrap/>
          </w:tcPr>
          <w:p>
            <w:pPr>
              <w:spacing w:line="440" w:lineRule="exact"/>
              <w:jc w:val="left"/>
              <w:rPr>
                <w:rFonts w:ascii="宋体" w:hAnsi="宋体"/>
                <w:szCs w:val="21"/>
              </w:rPr>
            </w:pPr>
            <w:r>
              <w:rPr>
                <w:rFonts w:hint="eastAsia" w:ascii="宋体" w:hAnsi="宋体"/>
                <w:szCs w:val="21"/>
              </w:rPr>
              <w:t>Q8.3</w:t>
            </w:r>
          </w:p>
        </w:tc>
        <w:tc>
          <w:tcPr>
            <w:tcW w:w="800" w:type="dxa"/>
            <w:noWra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rPr>
                <w:szCs w:val="21"/>
              </w:rPr>
            </w:pPr>
            <w:r>
              <w:rPr>
                <w:rFonts w:hint="eastAsia"/>
                <w:szCs w:val="21"/>
                <w:lang w:val="en-US" w:eastAsia="zh-CN"/>
              </w:rPr>
              <w:t>43</w:t>
            </w:r>
            <w:r>
              <w:rPr>
                <w:rFonts w:hint="eastAsia"/>
                <w:szCs w:val="21"/>
              </w:rPr>
              <w:t>人</w:t>
            </w:r>
          </w:p>
          <w:p>
            <w:pPr>
              <w:spacing w:line="400" w:lineRule="exact"/>
              <w:rPr>
                <w:szCs w:val="21"/>
              </w:rPr>
            </w:pPr>
            <w:r>
              <w:rPr>
                <w:rFonts w:hint="eastAsia"/>
                <w:szCs w:val="21"/>
              </w:rPr>
              <w:t>驾驶人员</w:t>
            </w:r>
          </w:p>
          <w:p>
            <w:pPr>
              <w:spacing w:line="400" w:lineRule="exact"/>
              <w:rPr>
                <w:szCs w:val="21"/>
              </w:rPr>
            </w:pPr>
            <w:r>
              <w:rPr>
                <w:rFonts w:hint="eastAsia"/>
                <w:szCs w:val="21"/>
              </w:rPr>
              <w:t>无</w:t>
            </w:r>
          </w:p>
        </w:tc>
        <w:tc>
          <w:tcPr>
            <w:tcW w:w="893" w:type="dxa"/>
            <w:noWrap/>
          </w:tcPr>
          <w:p>
            <w:pPr>
              <w:spacing w:line="440" w:lineRule="exact"/>
              <w:jc w:val="left"/>
              <w:rPr>
                <w:rFonts w:ascii="宋体" w:hAnsi="宋体"/>
                <w:szCs w:val="21"/>
              </w:rPr>
            </w:pPr>
            <w:r>
              <w:rPr>
                <w:rFonts w:hint="eastAsia" w:ascii="宋体" w:hAnsi="宋体"/>
                <w:szCs w:val="21"/>
              </w:rPr>
              <w:t>Q:7.2</w:t>
            </w:r>
          </w:p>
        </w:tc>
        <w:tc>
          <w:tcPr>
            <w:tcW w:w="800" w:type="dxa"/>
            <w:noWra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szCs w:val="21"/>
              </w:rPr>
            </w:pPr>
            <w:r>
              <w:rPr>
                <w:rFonts w:hint="eastAsia"/>
                <w:szCs w:val="21"/>
              </w:rPr>
              <w:t>主要经营设备</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p>
          <w:p>
            <w:pPr>
              <w:spacing w:line="400" w:lineRule="exact"/>
              <w:rPr>
                <w:szCs w:val="21"/>
              </w:rPr>
            </w:pPr>
            <w:r>
              <w:rPr>
                <w:rFonts w:hint="eastAsia"/>
                <w:szCs w:val="21"/>
              </w:rPr>
              <w:t>主要检测设备及设备的检定/校准（QMS）</w:t>
            </w:r>
          </w:p>
        </w:tc>
        <w:tc>
          <w:tcPr>
            <w:tcW w:w="9749" w:type="dxa"/>
            <w:noWrap/>
          </w:tcPr>
          <w:p>
            <w:pPr>
              <w:spacing w:line="400" w:lineRule="exact"/>
              <w:rPr>
                <w:rFonts w:ascii="宋体" w:hAnsi="宋体"/>
                <w:szCs w:val="21"/>
              </w:rPr>
            </w:pPr>
            <w:r>
              <w:rPr>
                <w:rFonts w:hint="eastAsia" w:ascii="宋体" w:hAnsi="宋体"/>
                <w:szCs w:val="21"/>
              </w:rPr>
              <w:t>办公设备、办公耗材、运输车辆等</w:t>
            </w:r>
          </w:p>
          <w:p>
            <w:pPr>
              <w:pStyle w:val="2"/>
            </w:pPr>
          </w:p>
          <w:p>
            <w:pPr>
              <w:spacing w:line="400" w:lineRule="exact"/>
              <w:rPr>
                <w:szCs w:val="21"/>
              </w:rPr>
            </w:pPr>
            <w:r>
              <w:rPr>
                <w:rFonts w:hint="eastAsia"/>
                <w:szCs w:val="21"/>
              </w:rPr>
              <w:t>无</w:t>
            </w:r>
          </w:p>
          <w:p>
            <w:pPr>
              <w:spacing w:line="400" w:lineRule="exact"/>
              <w:rPr>
                <w:szCs w:val="21"/>
              </w:rPr>
            </w:pPr>
          </w:p>
          <w:p>
            <w:pPr>
              <w:spacing w:line="400" w:lineRule="exact"/>
              <w:rPr>
                <w:szCs w:val="21"/>
              </w:rPr>
            </w:pPr>
            <w:r>
              <w:rPr>
                <w:rFonts w:hint="eastAsia" w:ascii="宋体" w:hAnsi="宋体"/>
                <w:szCs w:val="21"/>
              </w:rPr>
              <w:t>卫星定位系统（GPS），由</w:t>
            </w:r>
            <w:r>
              <w:rPr>
                <w:rFonts w:hint="eastAsia" w:ascii="宋体" w:hAnsi="宋体" w:cs="宋体"/>
                <w:szCs w:val="21"/>
              </w:rPr>
              <w:t>行业管理部门指定的第三方公司</w:t>
            </w:r>
            <w:r>
              <w:rPr>
                <w:rFonts w:hint="eastAsia" w:ascii="宋体" w:hAnsi="宋体"/>
                <w:szCs w:val="21"/>
              </w:rPr>
              <w:t>安装确认和维护。</w:t>
            </w:r>
          </w:p>
        </w:tc>
        <w:tc>
          <w:tcPr>
            <w:tcW w:w="893" w:type="dxa"/>
            <w:noWrap/>
          </w:tcPr>
          <w:p>
            <w:pPr>
              <w:spacing w:line="440" w:lineRule="exact"/>
              <w:jc w:val="left"/>
              <w:rPr>
                <w:rFonts w:ascii="宋体" w:hAnsi="宋体"/>
                <w:szCs w:val="21"/>
              </w:rPr>
            </w:pPr>
            <w:r>
              <w:rPr>
                <w:rFonts w:hint="eastAsia" w:ascii="宋体" w:hAnsi="宋体"/>
                <w:szCs w:val="21"/>
              </w:rPr>
              <w:t>Q:7.1</w:t>
            </w:r>
          </w:p>
          <w:p>
            <w:pPr>
              <w:spacing w:line="440" w:lineRule="exact"/>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spacing w:line="400" w:lineRule="exact"/>
              <w:rPr>
                <w:szCs w:val="21"/>
              </w:rPr>
            </w:pPr>
            <w:r>
              <w:rPr>
                <w:rFonts w:hint="eastAsia"/>
                <w:szCs w:val="21"/>
              </w:rPr>
              <w:t>方针：“经营优质产品，提供完善服务，不断持续改进，追求顾客满意”。</w:t>
            </w:r>
          </w:p>
        </w:tc>
        <w:tc>
          <w:tcPr>
            <w:tcW w:w="893" w:type="dxa"/>
            <w:noWra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w:t>
            </w:r>
            <w:r>
              <w:rPr>
                <w:rFonts w:hint="eastAsia" w:ascii="宋体" w:hAnsi="宋体"/>
                <w:szCs w:val="21"/>
                <w:lang w:eastAsia="zh-CN"/>
              </w:rPr>
              <w:t>内部审核控制程序</w:t>
            </w:r>
            <w:r>
              <w:rPr>
                <w:rFonts w:hint="eastAsia" w:ascii="宋体" w:hAnsi="宋体"/>
                <w:szCs w:val="21"/>
              </w:rPr>
              <w:t>》</w:t>
            </w:r>
          </w:p>
          <w:p>
            <w:pPr>
              <w:spacing w:line="380" w:lineRule="exact"/>
              <w:rPr>
                <w:rFonts w:ascii="宋体" w:hAnsi="宋体"/>
                <w:szCs w:val="21"/>
              </w:rPr>
            </w:pPr>
            <w:r>
              <w:rPr>
                <w:rFonts w:hint="eastAsia" w:ascii="宋体" w:hAnsi="宋体"/>
                <w:szCs w:val="21"/>
              </w:rPr>
              <w:t xml:space="preserve">见有《内部审核计划表》 </w:t>
            </w:r>
          </w:p>
          <w:p>
            <w:pPr>
              <w:spacing w:line="380" w:lineRule="exact"/>
              <w:rPr>
                <w:rFonts w:ascii="宋体" w:hAnsi="宋体"/>
                <w:szCs w:val="21"/>
              </w:rPr>
            </w:pPr>
            <w:r>
              <w:rPr>
                <w:rFonts w:hint="eastAsia" w:ascii="宋体" w:hAnsi="宋体"/>
                <w:szCs w:val="21"/>
              </w:rPr>
              <w:t>内审时间：2020年08月</w:t>
            </w:r>
            <w:r>
              <w:rPr>
                <w:rFonts w:hint="eastAsia" w:ascii="宋体" w:hAnsi="宋体"/>
                <w:szCs w:val="21"/>
                <w:lang w:val="en-US" w:eastAsia="zh-CN"/>
              </w:rPr>
              <w:t>23</w:t>
            </w:r>
            <w:r>
              <w:rPr>
                <w:rFonts w:hint="eastAsia" w:ascii="宋体" w:hAnsi="宋体"/>
                <w:szCs w:val="21"/>
              </w:rPr>
              <w:t>日</w:t>
            </w:r>
          </w:p>
          <w:p>
            <w:pPr>
              <w:spacing w:line="380" w:lineRule="exact"/>
              <w:rPr>
                <w:rFonts w:hint="eastAsia" w:ascii="宋体" w:hAnsi="宋体" w:eastAsia="宋体"/>
                <w:szCs w:val="21"/>
                <w:lang w:eastAsia="zh-CN"/>
              </w:rPr>
            </w:pPr>
            <w:r>
              <w:rPr>
                <w:rFonts w:hint="eastAsia" w:ascii="宋体" w:hAnsi="宋体"/>
                <w:szCs w:val="21"/>
              </w:rPr>
              <w:t xml:space="preserve">内审组：审核组长： </w:t>
            </w:r>
            <w:r>
              <w:rPr>
                <w:rFonts w:hint="eastAsia" w:ascii="宋体" w:hAnsi="宋体"/>
                <w:szCs w:val="21"/>
                <w:lang w:eastAsia="zh-CN"/>
              </w:rPr>
              <w:t>周鹏</w:t>
            </w:r>
            <w:r>
              <w:rPr>
                <w:rFonts w:hint="eastAsia" w:ascii="宋体" w:hAnsi="宋体"/>
                <w:szCs w:val="21"/>
              </w:rPr>
              <w:t xml:space="preserve">       组员：</w:t>
            </w:r>
            <w:r>
              <w:rPr>
                <w:rFonts w:hint="eastAsia" w:ascii="宋体" w:hAnsi="宋体"/>
                <w:szCs w:val="21"/>
                <w:lang w:eastAsia="zh-CN"/>
              </w:rPr>
              <w:t>谢玉兰</w:t>
            </w:r>
          </w:p>
          <w:p>
            <w:pPr>
              <w:spacing w:line="380" w:lineRule="exact"/>
              <w:rPr>
                <w:rFonts w:ascii="宋体" w:hAnsi="宋体"/>
                <w:szCs w:val="21"/>
              </w:rPr>
            </w:pPr>
            <w:r>
              <w:rPr>
                <w:rFonts w:hint="eastAsia" w:ascii="宋体" w:hAnsi="宋体"/>
                <w:szCs w:val="21"/>
              </w:rPr>
              <w:t>见有：《内审不符合项报告》1份，涉及</w:t>
            </w:r>
            <w:r>
              <w:rPr>
                <w:rFonts w:hint="eastAsia" w:ascii="宋体" w:hAnsi="宋体"/>
                <w:szCs w:val="21"/>
                <w:lang w:eastAsia="zh-CN"/>
              </w:rPr>
              <w:t>行政部</w:t>
            </w:r>
            <w:r>
              <w:rPr>
                <w:rFonts w:hint="eastAsia" w:ascii="宋体" w:hAnsi="宋体" w:cs="宋体"/>
                <w:color w:val="000000"/>
              </w:rPr>
              <w:t>在内审员培训</w:t>
            </w:r>
            <w:r>
              <w:rPr>
                <w:rFonts w:hint="eastAsia" w:ascii="宋体" w:hAnsi="宋体" w:cs="宋体"/>
                <w:color w:val="000000"/>
                <w:lang w:eastAsia="zh-CN"/>
              </w:rPr>
              <w:t>时</w:t>
            </w:r>
            <w:r>
              <w:rPr>
                <w:rFonts w:hint="eastAsia" w:ascii="宋体" w:hAnsi="宋体" w:cs="宋体"/>
                <w:color w:val="000000"/>
              </w:rPr>
              <w:t>未查见相关培训记录</w:t>
            </w:r>
            <w:r>
              <w:rPr>
                <w:rFonts w:hint="eastAsia" w:ascii="宋体" w:hAnsi="宋体" w:cs="宋体"/>
                <w:color w:val="000000"/>
                <w:lang w:eastAsia="zh-CN"/>
              </w:rPr>
              <w:t>，</w:t>
            </w:r>
            <w:r>
              <w:rPr>
                <w:rFonts w:hint="eastAsia" w:ascii="宋体" w:hAnsi="宋体" w:cs="宋体"/>
                <w:color w:val="000000"/>
              </w:rPr>
              <w:t>不符合7.2条款</w:t>
            </w:r>
            <w:r>
              <w:rPr>
                <w:rFonts w:hint="eastAsia" w:ascii="宋体" w:hAnsi="宋体"/>
                <w:szCs w:val="21"/>
              </w:rPr>
              <w:t>，针对该不符合项，已及时采取纠正措施后，经内审员验证关闭。</w:t>
            </w:r>
          </w:p>
          <w:p>
            <w:pPr>
              <w:spacing w:line="380" w:lineRule="exact"/>
              <w:rPr>
                <w:rFonts w:ascii="宋体" w:hAnsi="宋体"/>
                <w:szCs w:val="21"/>
              </w:rPr>
            </w:pPr>
            <w:r>
              <w:rPr>
                <w:rFonts w:hint="eastAsia" w:ascii="宋体" w:hAnsi="宋体"/>
                <w:szCs w:val="21"/>
              </w:rPr>
              <w:t>有《内部审核报告》，有审核结论。</w:t>
            </w:r>
          </w:p>
        </w:tc>
        <w:tc>
          <w:tcPr>
            <w:tcW w:w="893" w:type="dxa"/>
            <w:noWra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pPr>
            <w:r>
              <w:rPr>
                <w:rFonts w:hint="eastAsia"/>
              </w:rPr>
              <w:t>管理评审：</w:t>
            </w:r>
          </w:p>
          <w:p>
            <w:pPr>
              <w:spacing w:line="400" w:lineRule="exact"/>
            </w:pPr>
            <w:r>
              <w:rPr>
                <w:rFonts w:hint="eastAsia"/>
              </w:rPr>
              <w:t>时间</w:t>
            </w:r>
          </w:p>
          <w:p>
            <w:pPr>
              <w:spacing w:line="400" w:lineRule="exact"/>
            </w:pPr>
            <w:r>
              <w:rPr>
                <w:rFonts w:hint="eastAsia"/>
              </w:rPr>
              <w:t>输入是否完整</w:t>
            </w:r>
          </w:p>
          <w:p>
            <w:pPr>
              <w:spacing w:line="400" w:lineRule="exact"/>
            </w:pPr>
          </w:p>
          <w:p>
            <w:pPr>
              <w:spacing w:line="400" w:lineRule="exact"/>
            </w:pPr>
            <w:r>
              <w:rPr>
                <w:rFonts w:hint="eastAsia"/>
              </w:rPr>
              <w:t>提出的改进内容</w:t>
            </w:r>
          </w:p>
          <w:p>
            <w:pPr>
              <w:spacing w:line="400" w:lineRule="exact"/>
            </w:pPr>
          </w:p>
          <w:p>
            <w:pPr>
              <w:pStyle w:val="2"/>
            </w:pPr>
          </w:p>
          <w:p/>
          <w:p>
            <w:pPr>
              <w:pStyle w:val="2"/>
            </w:pPr>
          </w:p>
        </w:tc>
        <w:tc>
          <w:tcPr>
            <w:tcW w:w="9749" w:type="dxa"/>
            <w:noWrap/>
          </w:tcPr>
          <w:p>
            <w:pPr>
              <w:adjustRightInd w:val="0"/>
              <w:spacing w:line="400" w:lineRule="exact"/>
              <w:textAlignment w:val="baseline"/>
              <w:rPr>
                <w:szCs w:val="22"/>
              </w:rPr>
            </w:pPr>
            <w:r>
              <w:rPr>
                <w:rFonts w:hint="eastAsia"/>
              </w:rPr>
              <w:t>查见《管理评审计划》、《管理评审会议记录》</w:t>
            </w:r>
          </w:p>
          <w:p>
            <w:pPr>
              <w:adjustRightInd w:val="0"/>
              <w:spacing w:line="400" w:lineRule="exact"/>
              <w:textAlignment w:val="baseline"/>
            </w:pPr>
            <w:r>
              <w:rPr>
                <w:rFonts w:hint="eastAsia"/>
                <w:szCs w:val="22"/>
              </w:rPr>
              <w:t>管理评审于2020年09月</w:t>
            </w:r>
            <w:r>
              <w:rPr>
                <w:rFonts w:hint="eastAsia"/>
                <w:szCs w:val="22"/>
                <w:lang w:val="en-US" w:eastAsia="zh-CN"/>
              </w:rPr>
              <w:t>15</w:t>
            </w:r>
            <w:r>
              <w:rPr>
                <w:rFonts w:hint="eastAsia"/>
                <w:szCs w:val="22"/>
              </w:rPr>
              <w:t>日由</w:t>
            </w:r>
            <w:r>
              <w:rPr>
                <w:rFonts w:hint="eastAsia"/>
                <w:szCs w:val="22"/>
                <w:lang w:eastAsia="zh-CN"/>
              </w:rPr>
              <w:t>周开强</w:t>
            </w:r>
            <w:r>
              <w:rPr>
                <w:rFonts w:hint="eastAsia"/>
                <w:szCs w:val="22"/>
              </w:rPr>
              <w:t>总经理主持完成。</w:t>
            </w:r>
          </w:p>
          <w:p>
            <w:pPr>
              <w:adjustRightInd w:val="0"/>
              <w:spacing w:line="400" w:lineRule="exact"/>
              <w:textAlignment w:val="baseline"/>
            </w:pPr>
            <w:r>
              <w:rPr>
                <w:rFonts w:hint="eastAsia"/>
              </w:rPr>
              <w:t>提供主要输入材料有：各部门总结，输入信息基本充分和满足要求。</w:t>
            </w:r>
          </w:p>
          <w:p>
            <w:pPr>
              <w:adjustRightInd w:val="0"/>
              <w:spacing w:line="400" w:lineRule="exact"/>
              <w:textAlignment w:val="baseline"/>
              <w:rPr>
                <w:szCs w:val="22"/>
              </w:rPr>
            </w:pPr>
            <w:r>
              <w:rPr>
                <w:rFonts w:hint="eastAsia"/>
              </w:rPr>
              <w:t>输出见“管理评</w:t>
            </w:r>
            <w:r>
              <w:rPr>
                <w:rFonts w:hint="eastAsia"/>
                <w:szCs w:val="22"/>
              </w:rPr>
              <w:t>审报告”, 做出了管理体系基本适宜、充分和有效的评审结论。</w:t>
            </w:r>
          </w:p>
          <w:p>
            <w:pPr>
              <w:adjustRightInd w:val="0"/>
              <w:spacing w:line="400" w:lineRule="exact"/>
              <w:textAlignment w:val="baseline"/>
              <w:rPr>
                <w:szCs w:val="22"/>
              </w:rPr>
            </w:pPr>
            <w:r>
              <w:rPr>
                <w:rFonts w:hint="eastAsia"/>
                <w:szCs w:val="22"/>
              </w:rPr>
              <w:t>提出改进1项：</w:t>
            </w:r>
          </w:p>
          <w:p>
            <w:pPr>
              <w:adjustRightInd w:val="0"/>
              <w:spacing w:line="400" w:lineRule="exact"/>
              <w:ind w:firstLine="420" w:firstLineChars="200"/>
              <w:textAlignment w:val="baseline"/>
              <w:rPr>
                <w:szCs w:val="22"/>
              </w:rPr>
            </w:pPr>
            <w:r>
              <w:rPr>
                <w:rFonts w:hint="eastAsia"/>
                <w:szCs w:val="22"/>
              </w:rPr>
              <w:t>1、运输部服务意识及安全意识的培训；</w:t>
            </w:r>
          </w:p>
          <w:p>
            <w:pPr>
              <w:adjustRightInd w:val="0"/>
              <w:spacing w:line="400" w:lineRule="exact"/>
              <w:textAlignment w:val="baseline"/>
              <w:rPr>
                <w:szCs w:val="22"/>
              </w:rPr>
            </w:pPr>
            <w:r>
              <w:rPr>
                <w:rFonts w:hint="eastAsia"/>
                <w:szCs w:val="22"/>
              </w:rPr>
              <w:t>管理评审结论：</w:t>
            </w:r>
          </w:p>
          <w:p>
            <w:pPr>
              <w:adjustRightInd w:val="0"/>
              <w:spacing w:line="400" w:lineRule="exact"/>
              <w:textAlignment w:val="baseline"/>
            </w:pPr>
            <w:r>
              <w:rPr>
                <w:rFonts w:hint="eastAsia"/>
                <w:szCs w:val="22"/>
              </w:rPr>
              <w:t xml:space="preserve">    本公司的质量管理体系，基本上是适宜的、充分的和有效的。</w:t>
            </w:r>
          </w:p>
        </w:tc>
        <w:tc>
          <w:tcPr>
            <w:tcW w:w="893" w:type="dxa"/>
            <w:noWra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9.3</w:t>
            </w:r>
          </w:p>
          <w:p>
            <w:pPr>
              <w:spacing w:line="440" w:lineRule="exact"/>
              <w:jc w:val="center"/>
              <w:rPr>
                <w:rFonts w:ascii="宋体" w:hAnsi="宋体"/>
                <w:szCs w:val="21"/>
              </w:rPr>
            </w:pPr>
          </w:p>
        </w:tc>
        <w:tc>
          <w:tcPr>
            <w:tcW w:w="800" w:type="dxa"/>
            <w:noWra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3687" w:type="dxa"/>
            <w:noWrap/>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szCs w:val="21"/>
              </w:rPr>
            </w:pPr>
            <w:r>
              <w:rPr>
                <w:rFonts w:hint="eastAsia" w:ascii="宋体" w:hAnsi="宋体"/>
                <w:kern w:val="0"/>
                <w:szCs w:val="21"/>
              </w:rPr>
              <w:t>第二阶段重要审核点等相关内容</w:t>
            </w:r>
          </w:p>
        </w:tc>
        <w:tc>
          <w:tcPr>
            <w:tcW w:w="9749" w:type="dxa"/>
            <w:noWrap/>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二阶段质量管理体系宜重点关注（客户需求识别、合同评审、供方管理、产品交付等）。</w:t>
            </w:r>
          </w:p>
          <w:p>
            <w:pPr>
              <w:adjustRightInd w:val="0"/>
              <w:snapToGrid w:val="0"/>
              <w:rPr>
                <w:rFonts w:hint="eastAsia" w:ascii="宋体" w:hAnsi="宋体" w:eastAsia="宋体"/>
                <w:szCs w:val="21"/>
                <w:lang w:eastAsia="zh-CN"/>
              </w:rPr>
            </w:pPr>
            <w:r>
              <w:rPr>
                <w:rFonts w:hint="eastAsia" w:ascii="宋体" w:hAnsi="宋体"/>
                <w:szCs w:val="21"/>
              </w:rPr>
              <w:t>重点审核部门：</w:t>
            </w:r>
            <w:r>
              <w:rPr>
                <w:rFonts w:hint="eastAsia" w:ascii="宋体" w:hAnsi="宋体"/>
                <w:szCs w:val="21"/>
                <w:lang w:eastAsia="zh-CN"/>
              </w:rPr>
              <w:t>业务部、运输部</w:t>
            </w:r>
            <w:bookmarkStart w:id="0" w:name="_GoBack"/>
            <w:bookmarkEnd w:id="0"/>
          </w:p>
          <w:p>
            <w:pPr>
              <w:adjustRightInd w:val="0"/>
              <w:snapToGrid w:val="0"/>
              <w:rPr>
                <w:rFonts w:ascii="宋体" w:hAnsi="宋体"/>
                <w:szCs w:val="21"/>
              </w:rPr>
            </w:pPr>
            <w:r>
              <w:rPr>
                <w:rFonts w:hint="eastAsia" w:ascii="宋体" w:hAnsi="宋体"/>
                <w:szCs w:val="21"/>
              </w:rPr>
              <w:t>重点审核过程：运输过程</w:t>
            </w:r>
          </w:p>
          <w:p>
            <w:pPr>
              <w:adjustRightInd w:val="0"/>
              <w:snapToGrid w:val="0"/>
              <w:rPr>
                <w:rFonts w:ascii="宋体" w:hAnsi="宋体"/>
                <w:szCs w:val="21"/>
              </w:rPr>
            </w:pPr>
            <w:r>
              <w:rPr>
                <w:rFonts w:hint="eastAsia" w:ascii="宋体" w:hAnsi="宋体"/>
                <w:szCs w:val="21"/>
              </w:rPr>
              <w:t>重点审核场所：办公场所。</w:t>
            </w:r>
          </w:p>
        </w:tc>
        <w:tc>
          <w:tcPr>
            <w:tcW w:w="893" w:type="dxa"/>
            <w:noWrap/>
          </w:tcPr>
          <w:p>
            <w:pPr>
              <w:adjustRightInd w:val="0"/>
              <w:snapToGrid w:val="0"/>
              <w:rPr>
                <w:rFonts w:ascii="宋体" w:hAnsi="宋体"/>
                <w:szCs w:val="21"/>
              </w:rPr>
            </w:pPr>
          </w:p>
        </w:tc>
        <w:tc>
          <w:tcPr>
            <w:tcW w:w="800" w:type="dxa"/>
            <w:noWrap/>
          </w:tcPr>
          <w:p>
            <w:pPr>
              <w:spacing w:line="400" w:lineRule="exact"/>
              <w:rPr>
                <w:rFonts w:ascii="宋体" w:hAnsi="宋体"/>
                <w:szCs w:val="21"/>
              </w:rPr>
            </w:pPr>
          </w:p>
        </w:tc>
      </w:tr>
    </w:tbl>
    <w:p>
      <w:r>
        <w:ptab w:relativeTo="margin" w:alignment="center" w:leader="none"/>
      </w:r>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金山简行楷">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62443"/>
    <w:rsid w:val="00010EBB"/>
    <w:rsid w:val="00054E11"/>
    <w:rsid w:val="001C1ECE"/>
    <w:rsid w:val="00262443"/>
    <w:rsid w:val="005B00AA"/>
    <w:rsid w:val="00685BFD"/>
    <w:rsid w:val="007E46D9"/>
    <w:rsid w:val="009838F0"/>
    <w:rsid w:val="00E21777"/>
    <w:rsid w:val="015A2C4D"/>
    <w:rsid w:val="02194D6E"/>
    <w:rsid w:val="026F55A9"/>
    <w:rsid w:val="02883D13"/>
    <w:rsid w:val="030E7292"/>
    <w:rsid w:val="049B61C1"/>
    <w:rsid w:val="06F34F1C"/>
    <w:rsid w:val="073D76BF"/>
    <w:rsid w:val="08774A37"/>
    <w:rsid w:val="0BBB4299"/>
    <w:rsid w:val="0BDE08A5"/>
    <w:rsid w:val="0D3262A1"/>
    <w:rsid w:val="0DE9226E"/>
    <w:rsid w:val="0E123509"/>
    <w:rsid w:val="0E300407"/>
    <w:rsid w:val="0F624BB5"/>
    <w:rsid w:val="118B0407"/>
    <w:rsid w:val="118D42AD"/>
    <w:rsid w:val="13320CC4"/>
    <w:rsid w:val="13562A9F"/>
    <w:rsid w:val="17232F03"/>
    <w:rsid w:val="18790F35"/>
    <w:rsid w:val="19526C52"/>
    <w:rsid w:val="1ABE1344"/>
    <w:rsid w:val="1BFE273F"/>
    <w:rsid w:val="1D691C6E"/>
    <w:rsid w:val="1D7E31A0"/>
    <w:rsid w:val="1D8C4D7A"/>
    <w:rsid w:val="1E813768"/>
    <w:rsid w:val="1EFC3B66"/>
    <w:rsid w:val="1F3601DD"/>
    <w:rsid w:val="207A3FAA"/>
    <w:rsid w:val="20D30D27"/>
    <w:rsid w:val="21A94BD3"/>
    <w:rsid w:val="229C0B41"/>
    <w:rsid w:val="23DD7330"/>
    <w:rsid w:val="23FC42D0"/>
    <w:rsid w:val="25117485"/>
    <w:rsid w:val="26845066"/>
    <w:rsid w:val="268B38BE"/>
    <w:rsid w:val="281B4C95"/>
    <w:rsid w:val="29655875"/>
    <w:rsid w:val="2AD00CEB"/>
    <w:rsid w:val="2AEA6143"/>
    <w:rsid w:val="2CC123C0"/>
    <w:rsid w:val="2DBD389E"/>
    <w:rsid w:val="2FCC50D2"/>
    <w:rsid w:val="30024272"/>
    <w:rsid w:val="304E5493"/>
    <w:rsid w:val="33BC4D5C"/>
    <w:rsid w:val="354340FE"/>
    <w:rsid w:val="35A831AC"/>
    <w:rsid w:val="35C73C7C"/>
    <w:rsid w:val="362C1EDE"/>
    <w:rsid w:val="36364EFF"/>
    <w:rsid w:val="364B5DE7"/>
    <w:rsid w:val="36C43B74"/>
    <w:rsid w:val="3752197F"/>
    <w:rsid w:val="37A65905"/>
    <w:rsid w:val="3A800882"/>
    <w:rsid w:val="3AF706E8"/>
    <w:rsid w:val="3D915FC7"/>
    <w:rsid w:val="3E3741B2"/>
    <w:rsid w:val="3E89196A"/>
    <w:rsid w:val="3EC30853"/>
    <w:rsid w:val="3FE42AE8"/>
    <w:rsid w:val="4005665F"/>
    <w:rsid w:val="40080EBD"/>
    <w:rsid w:val="43752CB5"/>
    <w:rsid w:val="4514219C"/>
    <w:rsid w:val="453E063C"/>
    <w:rsid w:val="45A876C7"/>
    <w:rsid w:val="467513F2"/>
    <w:rsid w:val="475C75EA"/>
    <w:rsid w:val="492A676C"/>
    <w:rsid w:val="49841551"/>
    <w:rsid w:val="49E8367F"/>
    <w:rsid w:val="4BD0223F"/>
    <w:rsid w:val="4EAC3111"/>
    <w:rsid w:val="4FB855E8"/>
    <w:rsid w:val="51AC45E3"/>
    <w:rsid w:val="52303853"/>
    <w:rsid w:val="52A77CF1"/>
    <w:rsid w:val="52B302A4"/>
    <w:rsid w:val="52DE45FC"/>
    <w:rsid w:val="53421972"/>
    <w:rsid w:val="53A17BBA"/>
    <w:rsid w:val="53DA62C7"/>
    <w:rsid w:val="54DE137E"/>
    <w:rsid w:val="55340743"/>
    <w:rsid w:val="55F417B8"/>
    <w:rsid w:val="56FB3F2C"/>
    <w:rsid w:val="57366A4C"/>
    <w:rsid w:val="57C22484"/>
    <w:rsid w:val="583C772A"/>
    <w:rsid w:val="59B84B51"/>
    <w:rsid w:val="5AE12AA6"/>
    <w:rsid w:val="5B0F2EB8"/>
    <w:rsid w:val="5B5B206C"/>
    <w:rsid w:val="5C564F5C"/>
    <w:rsid w:val="5E4E0863"/>
    <w:rsid w:val="60272CE7"/>
    <w:rsid w:val="60844C4D"/>
    <w:rsid w:val="61802936"/>
    <w:rsid w:val="61C114EF"/>
    <w:rsid w:val="625F5052"/>
    <w:rsid w:val="629439C1"/>
    <w:rsid w:val="63907E34"/>
    <w:rsid w:val="64E57230"/>
    <w:rsid w:val="65D6001D"/>
    <w:rsid w:val="66492595"/>
    <w:rsid w:val="67214BD9"/>
    <w:rsid w:val="68EC66F4"/>
    <w:rsid w:val="6948626F"/>
    <w:rsid w:val="69A6177B"/>
    <w:rsid w:val="6A345BDC"/>
    <w:rsid w:val="6D71490D"/>
    <w:rsid w:val="6DFD5933"/>
    <w:rsid w:val="6F442635"/>
    <w:rsid w:val="702323B3"/>
    <w:rsid w:val="71110044"/>
    <w:rsid w:val="71994A3D"/>
    <w:rsid w:val="71C9638A"/>
    <w:rsid w:val="72246CD5"/>
    <w:rsid w:val="73EE4C5E"/>
    <w:rsid w:val="755B4EF9"/>
    <w:rsid w:val="75C43143"/>
    <w:rsid w:val="77F6572A"/>
    <w:rsid w:val="784D0AD7"/>
    <w:rsid w:val="7A7A2667"/>
    <w:rsid w:val="7A941314"/>
    <w:rsid w:val="7B3438DA"/>
    <w:rsid w:val="7B664873"/>
    <w:rsid w:val="7BB01EBC"/>
    <w:rsid w:val="7BC22015"/>
    <w:rsid w:val="7C262731"/>
    <w:rsid w:val="7D144548"/>
    <w:rsid w:val="7EC01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407</Words>
  <Characters>2325</Characters>
  <Lines>19</Lines>
  <Paragraphs>5</Paragraphs>
  <TotalTime>0</TotalTime>
  <ScaleCrop>false</ScaleCrop>
  <LinksUpToDate>false</LinksUpToDate>
  <CharactersWithSpaces>2727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2021-01-08T07:14:05Z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