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四川尼希米物流有限公司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0758-2020-Q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 xml:space="preserve">营业执照副本编号：91510114086684481R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rFonts w:hint="default"/>
                <w:color w:val="000000"/>
                <w:szCs w:val="21"/>
                <w:highlight w:val="none"/>
                <w:lang w:val="en-US" w:eastAsia="zh-CN"/>
              </w:rPr>
            </w:pPr>
            <w:r>
              <w:rPr>
                <w:rFonts w:hint="eastAsia"/>
                <w:color w:val="000000"/>
                <w:szCs w:val="21"/>
                <w:highlight w:val="none"/>
                <w:lang w:eastAsia="zh-CN"/>
              </w:rPr>
              <w:t>川交运管许可成字</w:t>
            </w:r>
            <w:r>
              <w:rPr>
                <w:rFonts w:hint="eastAsia"/>
                <w:color w:val="000000"/>
                <w:szCs w:val="21"/>
                <w:highlight w:val="none"/>
                <w:lang w:val="en-US" w:eastAsia="zh-CN"/>
              </w:rPr>
              <w:t>510114112695号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ascii="黑体" w:hAnsi="黑体" w:eastAsia="黑体" w:cs="黑体"/>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ascii="黑体" w:hAnsi="黑体" w:eastAsia="黑体" w:cs="黑体"/>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3862705</wp:posOffset>
                  </wp:positionH>
                  <wp:positionV relativeFrom="paragraph">
                    <wp:posOffset>45085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71552" behindDoc="0" locked="0" layoutInCell="1" allowOverlap="1">
                  <wp:simplePos x="0" y="0"/>
                  <wp:positionH relativeFrom="column">
                    <wp:posOffset>3602355</wp:posOffset>
                  </wp:positionH>
                  <wp:positionV relativeFrom="paragraph">
                    <wp:posOffset>12700</wp:posOffset>
                  </wp:positionV>
                  <wp:extent cx="323850" cy="335280"/>
                  <wp:effectExtent l="0" t="0" r="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864402"/>
    <w:rsid w:val="102A0646"/>
    <w:rsid w:val="19013C43"/>
    <w:rsid w:val="1FD51F96"/>
    <w:rsid w:val="2AE5056F"/>
    <w:rsid w:val="2D0102FF"/>
    <w:rsid w:val="312B1ECD"/>
    <w:rsid w:val="44DD11BB"/>
    <w:rsid w:val="451A0962"/>
    <w:rsid w:val="4FC45C22"/>
    <w:rsid w:val="52BB29E4"/>
    <w:rsid w:val="5CBA6E2C"/>
    <w:rsid w:val="68F37C3A"/>
    <w:rsid w:val="6F7949D6"/>
    <w:rsid w:val="726F591E"/>
    <w:rsid w:val="734151AE"/>
    <w:rsid w:val="7C1769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2021-01-08T06:35:50Z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