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成都尊上伯乐文化传播有限公司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刘凤芝</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成都大泽广告传媒有限公司</w:t>
            </w:r>
          </w:p>
        </w:tc>
        <w:tc>
          <w:tcPr>
            <w:tcW w:w="1728" w:type="dxa"/>
            <w:gridSpan w:val="2"/>
            <w:vAlign w:val="center"/>
          </w:tcPr>
          <w:p>
            <w:pPr>
              <w:jc w:val="center"/>
              <w:rPr>
                <w:b/>
                <w:sz w:val="21"/>
                <w:szCs w:val="21"/>
              </w:rPr>
            </w:pPr>
            <w:r>
              <w:rPr>
                <w:b/>
                <w:sz w:val="21"/>
                <w:szCs w:val="21"/>
              </w:rPr>
              <w:t>35.05.01</w:t>
            </w:r>
          </w:p>
        </w:tc>
        <w:tc>
          <w:tcPr>
            <w:tcW w:w="1729" w:type="dxa"/>
            <w:gridSpan w:val="2"/>
            <w:vAlign w:val="center"/>
          </w:tcPr>
          <w:p>
            <w:pPr>
              <w:jc w:val="center"/>
              <w:rPr>
                <w:b/>
                <w:sz w:val="21"/>
                <w:szCs w:val="21"/>
              </w:rPr>
            </w:pPr>
            <w:r>
              <w:rPr>
                <w:b/>
                <w:sz w:val="21"/>
                <w:szCs w:val="21"/>
              </w:rPr>
              <w:t>ISC-JSZJ-094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成都尊上伯乐文化传播有限公司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jc w:val="center"/>
              <w:rPr>
                <w:rFonts w:hint="default" w:ascii="宋体" w:eastAsia="宋体"/>
                <w:b/>
                <w:sz w:val="21"/>
                <w:lang w:val="en-US" w:eastAsia="zh-CN"/>
              </w:rPr>
            </w:pPr>
            <w:r>
              <w:rPr>
                <w:rFonts w:hint="eastAsia" w:ascii="宋体"/>
                <w:b/>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成都市温江区柳城街道永宁正街467-469号一层</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jc w:val="center"/>
              <w:rPr>
                <w:rFonts w:ascii="宋体"/>
                <w:b/>
                <w:sz w:val="21"/>
              </w:rPr>
            </w:pPr>
            <w:bookmarkStart w:id="13" w:name="注册邮编"/>
            <w:r>
              <w:rPr>
                <w:rFonts w:ascii="宋体"/>
                <w:b/>
                <w:sz w:val="21"/>
              </w:rPr>
              <w:t>611730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成都市温江区柳城街道永宁正街467-469号一层</w:t>
            </w:r>
            <w:bookmarkEnd w:id="14"/>
          </w:p>
        </w:tc>
        <w:tc>
          <w:tcPr>
            <w:tcW w:w="1672" w:type="dxa"/>
            <w:vMerge w:val="continue"/>
            <w:vAlign w:val="center"/>
          </w:tcPr>
          <w:p>
            <w:pPr>
              <w:jc w:val="center"/>
              <w:rPr>
                <w:rFonts w:ascii="宋体"/>
                <w:b/>
                <w:sz w:val="21"/>
              </w:rPr>
            </w:pPr>
          </w:p>
        </w:tc>
        <w:tc>
          <w:tcPr>
            <w:tcW w:w="1500" w:type="dxa"/>
          </w:tcPr>
          <w:p>
            <w:pPr>
              <w:jc w:val="center"/>
              <w:rPr>
                <w:rFonts w:ascii="宋体"/>
                <w:b/>
                <w:sz w:val="21"/>
              </w:rPr>
            </w:pPr>
            <w:bookmarkStart w:id="15" w:name="办公邮编"/>
            <w:r>
              <w:rPr>
                <w:rFonts w:ascii="宋体"/>
                <w:b/>
                <w:sz w:val="21"/>
              </w:rPr>
              <w:t>611730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成都市温江区柳城街道永宁正街467-469号一层</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611730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王朝辉</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13408650132</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王朝辉</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王朝辉</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颜洲</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2021年01月04日 上午至2021年01月04日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sz w:val="20"/>
              </w:rPr>
              <w:t>广告设计、制作、安装</w:t>
            </w:r>
            <w:bookmarkEnd w:id="25"/>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top"/>
          </w:tcPr>
          <w:p>
            <w:pPr>
              <w:spacing w:line="260" w:lineRule="exact"/>
              <w:jc w:val="left"/>
              <w:rPr>
                <w:rFonts w:ascii="宋体" w:hAnsi="宋体"/>
                <w:b/>
                <w:sz w:val="21"/>
                <w:szCs w:val="21"/>
              </w:rPr>
            </w:pPr>
            <w:bookmarkStart w:id="28" w:name="专业代码"/>
            <w:r>
              <w:rPr>
                <w:rFonts w:ascii="宋体" w:hAnsi="宋体"/>
                <w:b/>
                <w:sz w:val="21"/>
                <w:szCs w:val="21"/>
              </w:rPr>
              <w:t>35.05.01</w:t>
            </w:r>
            <w:bookmarkEnd w:id="28"/>
          </w:p>
        </w:tc>
        <w:tc>
          <w:tcPr>
            <w:tcW w:w="1109" w:type="dxa"/>
            <w:vAlign w:val="top"/>
          </w:tcPr>
          <w:p>
            <w:pPr>
              <w:spacing w:line="260" w:lineRule="exact"/>
              <w:jc w:val="left"/>
              <w:rPr>
                <w:rFonts w:ascii="宋体" w:hAnsi="宋体"/>
                <w:b/>
                <w:sz w:val="21"/>
                <w:szCs w:val="21"/>
              </w:rPr>
            </w:pPr>
            <w:r>
              <w:rPr>
                <w:rFonts w:hint="eastAsia" w:ascii="宋体" w:hAnsi="宋体"/>
                <w:b/>
                <w:sz w:val="21"/>
                <w:szCs w:val="21"/>
              </w:rPr>
              <w:t>证书有</w:t>
            </w:r>
          </w:p>
          <w:p>
            <w:pPr>
              <w:spacing w:line="260" w:lineRule="exact"/>
              <w:jc w:val="left"/>
              <w:rPr>
                <w:rFonts w:ascii="宋体" w:hAnsi="宋体"/>
                <w:b/>
                <w:sz w:val="21"/>
                <w:szCs w:val="21"/>
              </w:rPr>
            </w:pPr>
            <w:r>
              <w:rPr>
                <w:rFonts w:hint="eastAsia" w:ascii="宋体" w:hAnsi="宋体"/>
                <w:b/>
                <w:sz w:val="21"/>
                <w:szCs w:val="21"/>
              </w:rPr>
              <w:t>效期</w:t>
            </w:r>
          </w:p>
        </w:tc>
        <w:tc>
          <w:tcPr>
            <w:tcW w:w="1618" w:type="dxa"/>
            <w:gridSpan w:val="2"/>
            <w:vAlign w:val="top"/>
          </w:tcPr>
          <w:p>
            <w:pPr>
              <w:spacing w:line="260" w:lineRule="exact"/>
              <w:jc w:val="left"/>
              <w:rPr>
                <w:rFonts w:ascii="宋体" w:hAnsi="宋体"/>
                <w:b/>
                <w:sz w:val="21"/>
                <w:szCs w:val="21"/>
              </w:rPr>
            </w:pPr>
            <w:r>
              <w:rPr>
                <w:rFonts w:ascii="宋体" w:hAnsi="宋体"/>
                <w:b/>
                <w:sz w:val="21"/>
                <w:szCs w:val="21"/>
              </w:rPr>
              <w:t>2023-02-06</w:t>
            </w:r>
          </w:p>
        </w:tc>
        <w:tc>
          <w:tcPr>
            <w:tcW w:w="1672" w:type="dxa"/>
            <w:vAlign w:val="top"/>
          </w:tcPr>
          <w:p>
            <w:pPr>
              <w:spacing w:line="260" w:lineRule="exact"/>
              <w:jc w:val="left"/>
              <w:rPr>
                <w:rFonts w:ascii="宋体" w:hAnsi="宋体"/>
                <w:b/>
                <w:sz w:val="21"/>
                <w:szCs w:val="21"/>
              </w:rPr>
            </w:pPr>
            <w:r>
              <w:rPr>
                <w:rFonts w:hint="eastAsia" w:ascii="宋体" w:hAnsi="宋体"/>
                <w:b/>
                <w:sz w:val="21"/>
                <w:szCs w:val="21"/>
              </w:rPr>
              <w:t>上年度</w:t>
            </w:r>
          </w:p>
          <w:p>
            <w:pPr>
              <w:spacing w:line="260" w:lineRule="exact"/>
              <w:jc w:val="left"/>
              <w:rPr>
                <w:rFonts w:ascii="宋体" w:hAnsi="宋体"/>
                <w:b/>
                <w:sz w:val="21"/>
                <w:szCs w:val="21"/>
              </w:rPr>
            </w:pPr>
            <w:r>
              <w:rPr>
                <w:rFonts w:hint="eastAsia" w:ascii="宋体" w:hAnsi="宋体"/>
                <w:b/>
                <w:sz w:val="21"/>
                <w:szCs w:val="21"/>
              </w:rPr>
              <w:t>审核日期</w:t>
            </w:r>
          </w:p>
        </w:tc>
        <w:tc>
          <w:tcPr>
            <w:tcW w:w="1500" w:type="dxa"/>
            <w:vAlign w:val="top"/>
          </w:tcPr>
          <w:p>
            <w:pPr>
              <w:spacing w:line="260" w:lineRule="exact"/>
              <w:jc w:val="left"/>
              <w:rPr>
                <w:rFonts w:ascii="宋体" w:hAnsi="宋体"/>
                <w:b/>
                <w:sz w:val="21"/>
                <w:szCs w:val="21"/>
              </w:rPr>
            </w:pPr>
            <w:r>
              <w:rPr>
                <w:rFonts w:ascii="宋体" w:hAnsi="宋体"/>
                <w:b/>
                <w:sz w:val="21"/>
                <w:szCs w:val="21"/>
              </w:rPr>
              <w:t>2020-01-15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2020年01月15日至2021年01月04日。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pPr w:leftFromText="180" w:rightFromText="180" w:vertAnchor="text" w:horzAnchor="page" w:tblpX="798" w:tblpY="1241"/>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2"/>
              <w:spacing w:line="360" w:lineRule="auto"/>
              <w:jc w:val="left"/>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w:t>
            </w:r>
            <w:r>
              <w:rPr>
                <w:rFonts w:hint="eastAsia" w:ascii="宋体" w:hAnsi="宋体" w:cs="Times New Roman"/>
                <w:color w:val="000000" w:themeColor="text1"/>
              </w:rPr>
              <w:t>针：经营优质产品，提供完善服务，不断持续改进，追求顾客满意</w:t>
            </w:r>
            <w:r>
              <w:rPr>
                <w:rFonts w:hint="eastAsia" w:hAnsi="宋体" w:cs="Times New Roman"/>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广告设计、制作、安装 </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cs="Times New Roman"/>
                <w:szCs w:val="21"/>
                <w:lang w:val="en-US" w:eastAsia="zh-CN"/>
              </w:rPr>
              <w:t>设计过程</w:t>
            </w:r>
            <w:r>
              <w:rPr>
                <w:rFonts w:hint="eastAsia" w:ascii="宋体" w:hAnsi="宋体"/>
                <w:b/>
                <w:color w:val="000000" w:themeColor="text1"/>
                <w:sz w:val="20"/>
                <w:szCs w:val="20"/>
                <w:lang w:val="en-US" w:eastAsia="zh-CN"/>
              </w:rPr>
              <w:t>、</w:t>
            </w:r>
            <w:r>
              <w:rPr>
                <w:rFonts w:hint="eastAsia" w:ascii="宋体" w:hAnsi="宋体" w:cs="Times New Roman"/>
                <w:szCs w:val="21"/>
                <w:lang w:val="en-US" w:eastAsia="zh-CN"/>
              </w:rPr>
              <w:t>焊接过程</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67769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lang w:val="en-US" w:eastAsia="zh-CN"/>
              </w:rPr>
              <w:t>无</w:t>
            </w:r>
            <w:r>
              <w:rPr>
                <w:rFonts w:hint="eastAsia" w:ascii="宋体" w:hAnsi="宋体"/>
                <w:b/>
                <w:color w:val="000000" w:themeColor="text1"/>
                <w:sz w:val="20"/>
                <w:szCs w:val="20"/>
                <w:highlight w:val="none"/>
              </w:rPr>
              <w:t xml:space="preserve">  ，不适用理由：</w:t>
            </w:r>
            <w:r>
              <w:rPr>
                <w:rFonts w:hint="eastAsia" w:ascii="宋体" w:hAnsi="宋体" w:cs="Times New Roman"/>
                <w:color w:val="000000"/>
                <w:szCs w:val="21"/>
                <w:lang w:val="en-US" w:eastAsia="zh-CN"/>
              </w:rPr>
              <w:t xml:space="preserve"> </w:t>
            </w:r>
            <w:r>
              <w:rPr>
                <w:rFonts w:hint="eastAsia" w:ascii="宋体" w:hAnsi="宋体" w:cs="Times New Roman"/>
                <w:color w:val="000000"/>
                <w:szCs w:val="21"/>
                <w:u w:val="single"/>
                <w:lang w:val="en-US" w:eastAsia="zh-CN"/>
              </w:rPr>
              <w:t xml:space="preserve">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numPr>
                <w:ilvl w:val="0"/>
                <w:numId w:val="2"/>
              </w:numPr>
              <w:tabs>
                <w:tab w:val="left" w:pos="540"/>
              </w:tabs>
              <w:spacing w:line="300" w:lineRule="exact"/>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4"/>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4"/>
              <w:numPr>
                <w:ilvl w:val="0"/>
                <w:numId w:val="0"/>
              </w:numPr>
              <w:tabs>
                <w:tab w:val="left" w:pos="540"/>
              </w:tabs>
              <w:spacing w:line="300" w:lineRule="exact"/>
              <w:ind w:leftChars="0"/>
              <w:rPr>
                <w:rFonts w:hint="eastAsia"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法律法规的宣传方式：培训、会议、张贴。</w:t>
            </w:r>
          </w:p>
          <w:p>
            <w:pPr>
              <w:pStyle w:val="14"/>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spacing w:line="300" w:lineRule="exact"/>
              <w:ind w:firstLine="48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1合同完成及时率100%；</w:t>
            </w:r>
          </w:p>
          <w:p>
            <w:pPr>
              <w:spacing w:line="300" w:lineRule="exact"/>
              <w:ind w:firstLine="480" w:firstLineChars="200"/>
              <w:rPr>
                <w:rFonts w:ascii="宋体" w:hAnsi="宋体"/>
                <w:b/>
                <w:color w:val="000000" w:themeColor="text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顾客满意</w:t>
            </w:r>
            <w:r>
              <w:rPr>
                <w:rFonts w:hint="eastAsia" w:ascii="宋体" w:hAnsi="宋体" w:cs="宋体"/>
                <w:color w:val="000000"/>
                <w:kern w:val="0"/>
                <w:szCs w:val="21"/>
                <w:lang w:eastAsia="zh-CN"/>
              </w:rPr>
              <w:t>度</w:t>
            </w:r>
            <w:r>
              <w:rPr>
                <w:rFonts w:hint="eastAsia" w:ascii="宋体" w:hAnsi="宋体" w:cs="宋体"/>
                <w:color w:val="000000"/>
                <w:kern w:val="0"/>
                <w:szCs w:val="21"/>
              </w:rPr>
              <w:t>达到9</w:t>
            </w:r>
            <w:r>
              <w:rPr>
                <w:rFonts w:hint="eastAsia" w:ascii="宋体" w:hAnsi="宋体" w:cs="宋体"/>
                <w:color w:val="000000"/>
                <w:kern w:val="0"/>
                <w:szCs w:val="21"/>
                <w:lang w:val="en-US" w:eastAsia="zh-CN"/>
              </w:rPr>
              <w:t>0分</w:t>
            </w:r>
            <w:r>
              <w:rPr>
                <w:rFonts w:hint="eastAsia" w:ascii="宋体" w:hAnsi="宋体" w:cs="宋体"/>
                <w:color w:val="000000"/>
                <w:kern w:val="0"/>
                <w:szCs w:val="21"/>
              </w:rPr>
              <w:t>以上</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21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宋体" w:hAnsi="宋体"/>
                <w:bCs/>
                <w:iCs/>
                <w:highlight w:val="none"/>
              </w:rPr>
            </w:pPr>
            <w:r>
              <w:rPr>
                <w:rFonts w:hint="eastAsia" w:ascii="宋体" w:hAnsi="宋体"/>
                <w:szCs w:val="21"/>
              </w:rPr>
              <w:t>厂房</w:t>
            </w:r>
            <w:r>
              <w:rPr>
                <w:rFonts w:hint="eastAsia" w:ascii="宋体" w:hAnsi="宋体"/>
                <w:szCs w:val="21"/>
                <w:highlight w:val="none"/>
              </w:rPr>
              <w:t>面积</w:t>
            </w:r>
            <w:r>
              <w:rPr>
                <w:rFonts w:hint="eastAsia" w:ascii="宋体" w:hAnsi="宋体"/>
                <w:szCs w:val="21"/>
                <w:highlight w:val="none"/>
                <w:lang w:val="en-US" w:eastAsia="zh-CN"/>
              </w:rPr>
              <w:t>200</w:t>
            </w:r>
            <w:r>
              <w:rPr>
                <w:rFonts w:hint="eastAsia" w:ascii="宋体" w:hAnsi="宋体"/>
                <w:szCs w:val="21"/>
                <w:highlight w:val="none"/>
              </w:rPr>
              <w:t>平方米左右，车间、库房分开，办公场所面积</w:t>
            </w:r>
            <w:r>
              <w:rPr>
                <w:rFonts w:hint="eastAsia" w:ascii="宋体" w:hAnsi="宋体"/>
                <w:szCs w:val="21"/>
                <w:highlight w:val="none"/>
                <w:lang w:val="en-US" w:eastAsia="zh-CN"/>
              </w:rPr>
              <w:t>140</w:t>
            </w:r>
            <w:r>
              <w:rPr>
                <w:rFonts w:hint="eastAsia" w:ascii="宋体" w:hAnsi="宋体"/>
                <w:szCs w:val="21"/>
                <w:highlight w:val="none"/>
              </w:rPr>
              <w:t>平方米。</w:t>
            </w:r>
            <w:r>
              <w:rPr>
                <w:rFonts w:hint="eastAsia" w:ascii="宋体" w:hAnsi="宋体" w:cs="Times New Roman"/>
                <w:bCs/>
                <w:iCs/>
                <w:highlight w:val="none"/>
              </w:rPr>
              <w:t>主要生产设备包括</w:t>
            </w:r>
            <w:r>
              <w:rPr>
                <w:rFonts w:hint="eastAsia" w:ascii="宋体" w:hAnsi="宋体" w:cs="Times New Roman"/>
                <w:bCs/>
                <w:iCs/>
                <w:highlight w:val="none"/>
                <w:lang w:eastAsia="zh-CN"/>
              </w:rPr>
              <w:t>：</w:t>
            </w:r>
            <w:r>
              <w:rPr>
                <w:rFonts w:hint="eastAsia" w:ascii="宋体" w:hAnsi="宋体" w:cs="Times New Roman"/>
                <w:szCs w:val="21"/>
                <w:highlight w:val="none"/>
                <w:lang w:val="en-US" w:eastAsia="zh-CN"/>
              </w:rPr>
              <w:t>电脑8台、打印机1台、压板机1台、电焊机3台、氩弧焊机2台、切割机2台、</w:t>
            </w:r>
            <w:r>
              <w:rPr>
                <w:rFonts w:hint="eastAsia" w:ascii="宋体" w:hAnsi="宋体" w:cs="Times New Roman"/>
                <w:color w:val="000000"/>
                <w:szCs w:val="21"/>
                <w:lang w:val="en-US" w:eastAsia="zh-CN"/>
              </w:rPr>
              <w:t>喷绘机、写真机等</w:t>
            </w:r>
            <w:r>
              <w:rPr>
                <w:rFonts w:hint="eastAsia" w:ascii="宋体" w:hAnsi="宋体" w:cs="Times New Roman"/>
                <w:szCs w:val="21"/>
                <w:highlight w:val="none"/>
                <w:lang w:val="en-US" w:eastAsia="zh-CN"/>
              </w:rPr>
              <w:t>，</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满足生产需要。对设备按月方式进行点检维护保养，并实</w:t>
            </w:r>
            <w:r>
              <w:rPr>
                <w:rFonts w:hint="eastAsia" w:ascii="宋体" w:hAnsi="宋体"/>
                <w:bCs/>
                <w:iCs/>
                <w:highlight w:val="none"/>
              </w:rPr>
              <w:t>施。</w:t>
            </w:r>
          </w:p>
          <w:p>
            <w:pPr>
              <w:rPr>
                <w:rFonts w:hint="eastAsia" w:ascii="宋体" w:hAnsi="宋体"/>
                <w:bCs/>
                <w:iCs/>
                <w:highlight w:val="none"/>
              </w:rPr>
            </w:pPr>
            <w:r>
              <w:rPr>
                <w:rFonts w:hint="eastAsia" w:ascii="宋体" w:hAnsi="宋体"/>
                <w:bCs/>
                <w:iCs/>
                <w:highlight w:val="none"/>
              </w:rPr>
              <w:t>特种设备：</w:t>
            </w:r>
            <w:r>
              <w:rPr>
                <w:rFonts w:hint="eastAsia" w:ascii="宋体" w:hAnsi="宋体"/>
                <w:bCs/>
                <w:iCs/>
                <w:highlight w:val="none"/>
                <w:lang w:val="en-US" w:eastAsia="zh-CN"/>
              </w:rPr>
              <w:t>无</w:t>
            </w:r>
          </w:p>
          <w:p>
            <w:pPr>
              <w:rPr>
                <w:rFonts w:ascii="宋体" w:hAnsi="宋体"/>
                <w:b/>
                <w:color w:val="000000" w:themeColor="text1"/>
                <w:sz w:val="20"/>
                <w:szCs w:val="20"/>
              </w:rPr>
            </w:pP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80" w:firstLineChars="200"/>
              <w:rPr>
                <w:rFonts w:ascii="宋体" w:hAnsi="宋体"/>
                <w:b/>
                <w:color w:val="000000" w:themeColor="text1"/>
                <w:sz w:val="20"/>
                <w:szCs w:val="20"/>
              </w:rPr>
            </w:pPr>
            <w:r>
              <w:rPr>
                <w:rFonts w:hint="eastAsia" w:ascii="宋体" w:hAnsi="宋体" w:cs="宋体"/>
                <w:color w:val="000000"/>
                <w:szCs w:val="21"/>
                <w:highlight w:val="none"/>
              </w:rPr>
              <w:t>生产车间及检验部门均按策划的要求配置了相应的检测设备，均采用委外送检的方式。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4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w:t>
            </w:r>
            <w:r>
              <w:rPr>
                <w:rFonts w:hint="eastAsia"/>
                <w:b/>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600"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w:t>
            </w:r>
            <w:r>
              <w:rPr>
                <w:rFonts w:hint="eastAsia" w:ascii="宋体" w:hAnsi="宋体" w:cs="宋体"/>
                <w:color w:val="000000"/>
                <w:szCs w:val="21"/>
                <w:highlight w:val="none"/>
                <w:lang w:eastAsia="zh-CN"/>
              </w:rPr>
              <w:t>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lang w:eastAsia="zh-CN"/>
              </w:rPr>
              <w:t>年1</w:t>
            </w:r>
            <w:r>
              <w:rPr>
                <w:rFonts w:hint="eastAsia" w:ascii="宋体" w:hAnsi="宋体" w:cs="宋体"/>
                <w:color w:val="000000"/>
                <w:szCs w:val="21"/>
                <w:highlight w:val="none"/>
                <w:lang w:val="en-US" w:eastAsia="zh-CN"/>
              </w:rPr>
              <w:t>0</w:t>
            </w:r>
            <w:r>
              <w:rPr>
                <w:rFonts w:hint="eastAsia" w:ascii="宋体" w:hAnsi="宋体" w:cs="宋体"/>
                <w:color w:val="000000"/>
                <w:szCs w:val="21"/>
                <w:highlight w:val="none"/>
                <w:lang w:eastAsia="zh-CN"/>
              </w:rPr>
              <w:t>月</w:t>
            </w:r>
            <w:r>
              <w:rPr>
                <w:rFonts w:hint="eastAsia" w:ascii="宋体" w:hAnsi="宋体" w:cs="宋体"/>
                <w:color w:val="000000"/>
                <w:szCs w:val="21"/>
                <w:highlight w:val="none"/>
                <w:lang w:val="en-US" w:eastAsia="zh-CN"/>
              </w:rPr>
              <w:t>19</w:t>
            </w:r>
            <w:r>
              <w:rPr>
                <w:rFonts w:hint="eastAsia" w:ascii="宋体" w:hAnsi="宋体" w:cs="宋体"/>
                <w:color w:val="000000"/>
                <w:szCs w:val="21"/>
                <w:highlight w:val="none"/>
                <w:lang w:eastAsia="zh-CN"/>
              </w:rPr>
              <w:t>日</w:t>
            </w:r>
            <w:r>
              <w:rPr>
                <w:rFonts w:hint="eastAsia" w:ascii="宋体" w:hAnsi="宋体" w:cs="宋体"/>
                <w:color w:val="000000"/>
                <w:szCs w:val="21"/>
                <w:highlight w:val="none"/>
              </w:rPr>
              <w:t>，拟定了审核实施表，明确了内审范围，内审人员经培训合格上岗，能力满足要求，未出现审核本部门情况，内审不符合项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szCs w:val="24"/>
              </w:rPr>
              <w:t>涉及</w:t>
            </w:r>
            <w:r>
              <w:rPr>
                <w:rFonts w:hint="eastAsia" w:ascii="宋体" w:hAnsi="宋体" w:cs="宋体"/>
                <w:szCs w:val="24"/>
                <w:lang w:val="en-US" w:eastAsia="zh-CN"/>
              </w:rPr>
              <w:t>行政</w:t>
            </w:r>
            <w:r>
              <w:rPr>
                <w:rFonts w:hint="eastAsia" w:ascii="宋体" w:hAnsi="宋体" w:cs="宋体"/>
                <w:szCs w:val="24"/>
                <w:lang w:eastAsia="zh-CN"/>
              </w:rPr>
              <w:t>部</w:t>
            </w:r>
            <w:r>
              <w:rPr>
                <w:rFonts w:hint="eastAsia" w:ascii="宋体" w:hAnsi="宋体" w:cs="宋体"/>
                <w:szCs w:val="24"/>
                <w:lang w:val="en-US" w:eastAsia="zh-CN"/>
              </w:rPr>
              <w:t>不符合</w:t>
            </w:r>
            <w:r>
              <w:rPr>
                <w:rFonts w:hint="eastAsia" w:ascii="宋体" w:hAnsi="宋体" w:cs="宋体"/>
                <w:szCs w:val="24"/>
              </w:rPr>
              <w:t>标准</w:t>
            </w:r>
            <w:r>
              <w:rPr>
                <w:rFonts w:hint="eastAsia"/>
                <w:sz w:val="21"/>
                <w:szCs w:val="21"/>
                <w:highlight w:val="none"/>
                <w:lang w:val="en-US" w:eastAsia="zh-CN"/>
              </w:rPr>
              <w:t>7.5</w:t>
            </w:r>
            <w:r>
              <w:rPr>
                <w:rFonts w:hint="eastAsia" w:ascii="宋体" w:hAnsi="宋体" w:cs="宋体"/>
                <w:szCs w:val="24"/>
              </w:rPr>
              <w:t>条款</w:t>
            </w:r>
            <w:r>
              <w:rPr>
                <w:rFonts w:hint="eastAsia" w:ascii="宋体" w:hAnsi="宋体" w:cs="宋体"/>
                <w:szCs w:val="24"/>
                <w:lang w:eastAsia="zh-CN"/>
              </w:rPr>
              <w:t>，</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宋体"/>
                <w:szCs w:val="21"/>
                <w:lang w:eastAsia="zh-CN"/>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10</w:t>
            </w:r>
            <w:r>
              <w:rPr>
                <w:rFonts w:hint="eastAsia" w:ascii="宋体" w:hAnsi="宋体" w:cs="宋体"/>
                <w:szCs w:val="21"/>
                <w:lang w:eastAsia="zh-CN"/>
              </w:rPr>
              <w:t>月</w:t>
            </w:r>
            <w:r>
              <w:rPr>
                <w:rFonts w:hint="eastAsia" w:ascii="宋体" w:hAnsi="宋体" w:cs="宋体"/>
                <w:szCs w:val="21"/>
                <w:lang w:val="en-US" w:eastAsia="zh-CN"/>
              </w:rPr>
              <w:t>28</w:t>
            </w:r>
            <w:r>
              <w:rPr>
                <w:rFonts w:hint="eastAsia" w:ascii="宋体" w:hAnsi="宋体" w:cs="宋体"/>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lang w:val="en-US" w:eastAsia="zh-CN"/>
              </w:rPr>
              <w:t>4</w:t>
            </w:r>
            <w:r>
              <w:rPr>
                <w:rFonts w:hint="eastAsia"/>
                <w:b/>
                <w:color w:val="000000" w:themeColor="text1"/>
                <w:szCs w:val="21"/>
              </w:rPr>
              <w:t>. 上次不符合的整改情况（再认证填写）</w:t>
            </w:r>
          </w:p>
          <w:p>
            <w:pPr>
              <w:spacing w:line="240" w:lineRule="exact"/>
              <w:rPr>
                <w:rFonts w:hint="default" w:eastAsia="宋体"/>
                <w:b/>
                <w:color w:val="000000" w:themeColor="text1"/>
                <w:szCs w:val="21"/>
                <w:lang w:val="en-US" w:eastAsia="zh-CN"/>
              </w:rPr>
            </w:pPr>
            <w:bookmarkStart w:id="29" w:name="_GoBack"/>
            <w:r>
              <w:rPr>
                <w:rFonts w:hint="eastAsia" w:ascii="宋体" w:hAnsi="宋体" w:cs="宋体"/>
                <w:color w:val="000000" w:themeColor="text1"/>
                <w:szCs w:val="22"/>
                <w:lang w:val="en-US" w:eastAsia="zh-CN"/>
              </w:rPr>
              <w:t>上次不符合标准7.1.5条款本次未出现类视情况。</w:t>
            </w:r>
            <w:bookmarkEnd w:id="29"/>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Times New Roman" w:hAnsi="Times New Roman" w:cs="Times New Roman"/>
          <w:b/>
          <w:sz w:val="22"/>
          <w:szCs w:val="22"/>
        </w:rPr>
        <w:drawing>
          <wp:anchor distT="0" distB="0" distL="114300" distR="114300" simplePos="0" relativeHeight="251680768" behindDoc="0" locked="0" layoutInCell="1" allowOverlap="1">
            <wp:simplePos x="0" y="0"/>
            <wp:positionH relativeFrom="column">
              <wp:posOffset>1768475</wp:posOffset>
            </wp:positionH>
            <wp:positionV relativeFrom="paragraph">
              <wp:posOffset>222250</wp:posOffset>
            </wp:positionV>
            <wp:extent cx="454660" cy="321945"/>
            <wp:effectExtent l="0" t="0" r="2540" b="1905"/>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6"/>
                    <a:stretch>
                      <a:fillRect/>
                    </a:stretch>
                  </pic:blipFill>
                  <pic:spPr>
                    <a:xfrm>
                      <a:off x="0" y="0"/>
                      <a:ext cx="454660" cy="321945"/>
                    </a:xfrm>
                    <a:prstGeom prst="rect">
                      <a:avLst/>
                    </a:prstGeom>
                    <a:noFill/>
                    <a:ln>
                      <a:noFill/>
                    </a:ln>
                  </pic:spPr>
                </pic:pic>
              </a:graphicData>
            </a:graphic>
          </wp:anchor>
        </w:drawing>
      </w:r>
      <w:r>
        <w:rPr>
          <w:rFonts w:hint="eastAsia"/>
          <w:b/>
          <w:sz w:val="26"/>
          <w:szCs w:val="26"/>
        </w:rPr>
        <w:t>十二、审核组签字</w:t>
      </w:r>
    </w:p>
    <w:p>
      <w:pPr>
        <w:tabs>
          <w:tab w:val="left" w:pos="645"/>
        </w:tabs>
        <w:spacing w:after="163" w:afterLines="50" w:line="360" w:lineRule="exact"/>
        <w:rPr>
          <w:rFonts w:hint="eastAsia" w:ascii="Times New Roman" w:hAnsi="Times New Roman" w:cs="Times New Roman"/>
          <w:b/>
          <w:sz w:val="26"/>
          <w:szCs w:val="26"/>
        </w:rPr>
      </w:pPr>
      <w:r>
        <w:rPr>
          <w:rFonts w:hint="eastAsia" w:ascii="Times New Roman" w:hAnsi="Times New Roman" w:cs="Times New Roman"/>
          <w:b/>
          <w:sz w:val="26"/>
          <w:szCs w:val="26"/>
          <w:lang w:eastAsia="zh-CN"/>
        </w:rPr>
        <w:drawing>
          <wp:anchor distT="0" distB="0" distL="114300" distR="114300" simplePos="0" relativeHeight="251679744" behindDoc="0" locked="0" layoutInCell="1" allowOverlap="1">
            <wp:simplePos x="0" y="0"/>
            <wp:positionH relativeFrom="column">
              <wp:posOffset>1792605</wp:posOffset>
            </wp:positionH>
            <wp:positionV relativeFrom="paragraph">
              <wp:posOffset>328930</wp:posOffset>
            </wp:positionV>
            <wp:extent cx="574675" cy="404495"/>
            <wp:effectExtent l="0" t="0" r="15875" b="0"/>
            <wp:wrapSquare wrapText="bothSides"/>
            <wp:docPr id="4" name="图片 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标题-1"/>
                    <pic:cNvPicPr>
                      <a:picLocks noChangeAspect="1"/>
                    </pic:cNvPicPr>
                  </pic:nvPicPr>
                  <pic:blipFill>
                    <a:blip r:embed="rId7"/>
                    <a:srcRect l="39865" t="46626" r="49051" b="45573"/>
                    <a:stretch>
                      <a:fillRect/>
                    </a:stretch>
                  </pic:blipFill>
                  <pic:spPr>
                    <a:xfrm>
                      <a:off x="0" y="0"/>
                      <a:ext cx="574675" cy="404495"/>
                    </a:xfrm>
                    <a:prstGeom prst="rect">
                      <a:avLst/>
                    </a:prstGeom>
                  </pic:spPr>
                </pic:pic>
              </a:graphicData>
            </a:graphic>
          </wp:anchor>
        </w:drawing>
      </w:r>
      <w:r>
        <w:rPr>
          <w:rFonts w:hint="eastAsia" w:ascii="Times New Roman" w:hAnsi="Times New Roman" w:cs="Times New Roman"/>
          <w:b/>
          <w:sz w:val="26"/>
          <w:szCs w:val="26"/>
        </w:rPr>
        <w:t>审核组组长（签名）：</w:t>
      </w:r>
    </w:p>
    <w:p>
      <w:pPr>
        <w:tabs>
          <w:tab w:val="left" w:pos="645"/>
        </w:tabs>
        <w:spacing w:after="163" w:afterLines="50" w:line="360" w:lineRule="exact"/>
        <w:rPr>
          <w:rFonts w:hint="eastAsia" w:ascii="Times New Roman" w:hAnsi="Times New Roman" w:cs="Times New Roman"/>
          <w:b/>
          <w:sz w:val="26"/>
          <w:szCs w:val="26"/>
        </w:rPr>
      </w:pPr>
      <w:r>
        <w:rPr>
          <w:rFonts w:hint="eastAsia" w:ascii="Times New Roman" w:hAnsi="Times New Roman" w:cs="Times New Roman"/>
          <w:b/>
          <w:sz w:val="26"/>
          <w:szCs w:val="26"/>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2021.01.04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rFonts w:hint="eastAsia"/>
          <w:b/>
          <w:sz w:val="21"/>
          <w:szCs w:val="21"/>
        </w:rPr>
      </w:pPr>
      <w:r>
        <w:rPr>
          <w:rFonts w:hint="eastAsia" w:ascii="Times New Roman" w:hAnsi="Times New Roman" w:cs="Times New Roman"/>
          <w:b/>
          <w:sz w:val="22"/>
          <w:szCs w:val="22"/>
        </w:rPr>
        <w:drawing>
          <wp:anchor distT="0" distB="0" distL="114300" distR="114300" simplePos="0" relativeHeight="251681792" behindDoc="0" locked="0" layoutInCell="1" allowOverlap="1">
            <wp:simplePos x="0" y="0"/>
            <wp:positionH relativeFrom="column">
              <wp:posOffset>1215390</wp:posOffset>
            </wp:positionH>
            <wp:positionV relativeFrom="paragraph">
              <wp:posOffset>146685</wp:posOffset>
            </wp:positionV>
            <wp:extent cx="454660" cy="321945"/>
            <wp:effectExtent l="0" t="0" r="2540" b="190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6"/>
                    <a:stretch>
                      <a:fillRect/>
                    </a:stretch>
                  </pic:blipFill>
                  <pic:spPr>
                    <a:xfrm>
                      <a:off x="0" y="0"/>
                      <a:ext cx="454660" cy="321945"/>
                    </a:xfrm>
                    <a:prstGeom prst="rect">
                      <a:avLst/>
                    </a:prstGeom>
                    <a:noFill/>
                    <a:ln>
                      <a:noFill/>
                    </a:ln>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D25189"/>
    <w:rsid w:val="08BB796D"/>
    <w:rsid w:val="14193FC4"/>
    <w:rsid w:val="1E37428C"/>
    <w:rsid w:val="1F900DA2"/>
    <w:rsid w:val="2C116814"/>
    <w:rsid w:val="5D270A19"/>
    <w:rsid w:val="64384B53"/>
    <w:rsid w:val="769568F1"/>
    <w:rsid w:val="7F0709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pPr>
      <w:widowControl w:val="0"/>
      <w:jc w:val="both"/>
    </w:pPr>
    <w:rPr>
      <w:rFonts w:ascii="宋体" w:hAnsi="Courier New"/>
      <w:kern w:val="2"/>
      <w:sz w:val="21"/>
      <w:lang w:eastAsia="zh-CN"/>
    </w:rPr>
  </w:style>
  <w:style w:type="paragraph" w:styleId="3">
    <w:name w:val="Balloon Text"/>
    <w:basedOn w:val="1"/>
    <w:link w:val="10"/>
    <w:semiHidden/>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2021-01-04T05:05:50Z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