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重庆每文城市综合服务有限公司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Q:35.16.03</w:t>
            </w:r>
          </w:p>
          <w:p>
            <w:pPr>
              <w:spacing w:line="240" w:lineRule="exact"/>
              <w:jc w:val="center"/>
              <w:rPr>
                <w:b/>
                <w:color w:val="000000" w:themeColor="text1"/>
                <w:sz w:val="20"/>
                <w:szCs w:val="20"/>
              </w:rPr>
            </w:pPr>
            <w:r>
              <w:rPr>
                <w:b/>
                <w:color w:val="000000" w:themeColor="text1"/>
                <w:sz w:val="20"/>
                <w:szCs w:val="20"/>
              </w:rPr>
              <w:t>E:35.16.03</w:t>
            </w:r>
          </w:p>
          <w:p>
            <w:pPr>
              <w:spacing w:line="240" w:lineRule="exact"/>
              <w:jc w:val="center"/>
              <w:rPr>
                <w:b/>
                <w:color w:val="000000" w:themeColor="text1"/>
                <w:sz w:val="20"/>
                <w:szCs w:val="20"/>
              </w:rPr>
            </w:pPr>
            <w:r>
              <w:rPr>
                <w:b/>
                <w:color w:val="000000" w:themeColor="text1"/>
                <w:sz w:val="20"/>
                <w:szCs w:val="20"/>
              </w:rPr>
              <w:t>O:35.16.03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重庆每文城市综合服务有限公司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重庆市九龙坡区杨家坪前进支路1号19-14(原19-9)</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重庆市渝北郑家院子中渝香奈公馆2-37-5</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余澜博</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023-67141219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刘江峰</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刘江峰</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刘江峰</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Q：许可范围内道路清扫</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E：许可范围内道路清扫所涉及场所的相关环境管理活动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O：许可范围内道路清扫所涉及场所的相关职业健康安全管理活动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Q：35.16.03</w:t>
            </w:r>
          </w:p>
          <w:p>
            <w:pPr>
              <w:spacing w:line="320" w:lineRule="exact"/>
              <w:rPr>
                <w:rFonts w:ascii="宋体" w:hAnsi="宋体"/>
                <w:b/>
                <w:color w:val="000000" w:themeColor="text1"/>
                <w:sz w:val="20"/>
                <w:szCs w:val="20"/>
              </w:rPr>
            </w:pPr>
            <w:r>
              <w:rPr>
                <w:rFonts w:ascii="宋体" w:hAnsi="宋体"/>
                <w:b/>
                <w:color w:val="000000" w:themeColor="text1"/>
                <w:sz w:val="20"/>
                <w:szCs w:val="20"/>
              </w:rPr>
              <w:t>E：35.16.03</w:t>
            </w:r>
          </w:p>
          <w:p>
            <w:pPr>
              <w:spacing w:line="320" w:lineRule="exact"/>
              <w:rPr>
                <w:rFonts w:ascii="宋体" w:hAnsi="宋体"/>
                <w:b/>
                <w:color w:val="000000" w:themeColor="text1"/>
                <w:sz w:val="20"/>
                <w:szCs w:val="20"/>
              </w:rPr>
            </w:pPr>
            <w:r>
              <w:rPr>
                <w:rFonts w:ascii="宋体" w:hAnsi="宋体"/>
                <w:b/>
                <w:color w:val="000000" w:themeColor="text1"/>
                <w:sz w:val="20"/>
                <w:szCs w:val="20"/>
              </w:rPr>
              <w:t>O：35.16.03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详见多场所清单</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行政部（含财务部）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市场拓展</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服务过程管理；设备设施管理；合同管理；客户管理；采购管理；供方管理。不合格品控制；监视和测量设备管理；产品验收管理；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hint="default" w:ascii="宋体" w:hAnsi="宋体" w:eastAsia="宋体"/>
          <w:b/>
          <w:color w:val="000000" w:themeColor="text1"/>
          <w:szCs w:val="21"/>
          <w:lang w:val="en-US" w:eastAsia="zh-CN"/>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详情见多场所清单</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许可范围内道路清扫</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b/>
                <w:color w:val="000000" w:themeColor="text1"/>
                <w:sz w:val="20"/>
                <w:szCs w:val="20"/>
              </w:rPr>
            </w:pPr>
            <w:r>
              <w:rPr>
                <w:rFonts w:hint="eastAsia" w:ascii="宋体" w:hAnsi="宋体"/>
                <w:szCs w:val="21"/>
              </w:rPr>
              <w:t>DB31/T 524-2011道路和公共广场及附属公共设施保洁质量和服务要求、DB50/T 337-2009城市环境卫生公共设施运行维护技术规程等及客户合同要求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pPr>
            <w:r>
              <w:t>3.</w:t>
            </w:r>
            <w:r>
              <w:rPr>
                <w:rFonts w:hint="eastAsia"/>
              </w:rPr>
              <w:t>■质量/■环境/■职业健康安全方针（组织方针的适宜性/持续适宜性、方针的传达及职工的理解等）</w:t>
            </w:r>
          </w:p>
          <w:p>
            <w:pPr>
              <w:rPr>
                <w:rFonts w:hint="eastAsia" w:asciiTheme="minorEastAsia" w:hAnsiTheme="minorEastAsia" w:eastAsiaTheme="minorEastAsia" w:cstheme="minorEastAsia"/>
                <w:szCs w:val="21"/>
              </w:rPr>
            </w:pPr>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szCs w:val="21"/>
              </w:rPr>
              <w:t>质量、环境、职业健康安全方针：</w:t>
            </w:r>
            <w:r>
              <w:rPr>
                <w:rFonts w:hint="eastAsia" w:ascii="宋体" w:hAnsi="宋体"/>
                <w:szCs w:val="21"/>
              </w:rPr>
              <w:t>“</w:t>
            </w:r>
            <w:r>
              <w:rPr>
                <w:rFonts w:hint="eastAsia" w:asciiTheme="minorEastAsia" w:hAnsiTheme="minorEastAsia" w:eastAsiaTheme="minorEastAsia" w:cstheme="minorEastAsia"/>
                <w:szCs w:val="21"/>
              </w:rPr>
              <w:t xml:space="preserve">科学管理、合法经营；优质高效、顾客满意； </w:t>
            </w:r>
          </w:p>
          <w:p>
            <w:r>
              <w:rPr>
                <w:rFonts w:hint="eastAsia" w:asciiTheme="minorEastAsia" w:hAnsiTheme="minorEastAsia" w:eastAsiaTheme="minorEastAsia" w:cstheme="minorEastAsia"/>
                <w:szCs w:val="21"/>
              </w:rPr>
              <w:t>预防污染、保护环境；关爱生命、保障健康</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r>
              <w:rPr>
                <w:rFonts w:hint="eastAsia" w:ascii="Times New Roman" w:hAnsi="Times New Roman" w:eastAsia="宋体" w:cs="Times New Roman"/>
                <w:szCs w:val="22"/>
                <w:highlight w:val="none"/>
              </w:rPr>
              <w:t>客户需求→签订合同→日常清扫→垃圾清运→检查→整改</w:t>
            </w:r>
            <w:r>
              <w:rPr>
                <w:rFonts w:hint="eastAsia" w:ascii="宋体" w:hAnsi="宋体"/>
                <w:b/>
                <w:color w:val="000000" w:themeColor="text1"/>
                <w:sz w:val="20"/>
                <w:szCs w:val="20"/>
                <w:highlight w:val="none"/>
              </w:rPr>
              <w:t>。</w:t>
            </w:r>
          </w:p>
          <w:p>
            <w:pPr>
              <w:tabs>
                <w:tab w:val="left" w:pos="540"/>
              </w:tabs>
              <w:spacing w:line="300" w:lineRule="exact"/>
              <w:ind w:left="201" w:hanging="201" w:hangingChars="100"/>
              <w:rPr>
                <w:rFonts w:ascii="宋体" w:hAnsi="宋体"/>
                <w:b/>
                <w:color w:val="auto"/>
                <w:sz w:val="20"/>
                <w:szCs w:val="20"/>
                <w:highlight w:val="none"/>
              </w:rPr>
            </w:pPr>
            <w:r>
              <w:rPr>
                <w:rFonts w:hint="eastAsia" w:ascii="宋体" w:hAnsi="宋体"/>
                <w:b/>
                <w:color w:val="000000" w:themeColor="text1"/>
                <w:sz w:val="20"/>
                <w:szCs w:val="20"/>
                <w:highlight w:val="none"/>
              </w:rPr>
              <w:t>其中关键过程有：</w:t>
            </w:r>
            <w:r>
              <w:rPr>
                <w:rFonts w:hint="eastAsia" w:ascii="Times New Roman" w:hAnsi="Times New Roman" w:eastAsia="宋体" w:cs="Times New Roman"/>
                <w:color w:val="auto"/>
                <w:szCs w:val="22"/>
                <w:highlight w:val="none"/>
              </w:rPr>
              <w:t>清扫过程</w:t>
            </w:r>
          </w:p>
          <w:p>
            <w:pPr>
              <w:tabs>
                <w:tab w:val="left" w:pos="540"/>
              </w:tabs>
              <w:spacing w:line="300" w:lineRule="exact"/>
              <w:ind w:left="201" w:hanging="201" w:hangingChars="100"/>
              <w:rPr>
                <w:rFonts w:ascii="宋体" w:hAnsi="宋体"/>
                <w:b/>
                <w:color w:val="auto"/>
                <w:sz w:val="20"/>
                <w:szCs w:val="20"/>
                <w:highlight w:val="none"/>
                <w:u w:val="single"/>
              </w:rPr>
            </w:pPr>
            <w:r>
              <w:rPr>
                <w:rFonts w:hint="eastAsia" w:ascii="宋体" w:hAnsi="宋体"/>
                <w:b/>
                <w:color w:val="auto"/>
                <w:sz w:val="20"/>
                <w:szCs w:val="20"/>
                <w:highlight w:val="none"/>
              </w:rPr>
              <w:t xml:space="preserve">需要确认过程： </w:t>
            </w:r>
            <w:r>
              <w:rPr>
                <w:rFonts w:hint="eastAsia" w:ascii="Times New Roman" w:hAnsi="Times New Roman" w:eastAsia="宋体" w:cs="Times New Roman"/>
                <w:color w:val="auto"/>
                <w:szCs w:val="22"/>
                <w:highlight w:val="none"/>
              </w:rPr>
              <w:t>清扫过程</w:t>
            </w:r>
            <w:r>
              <w:rPr>
                <w:rFonts w:hint="eastAsia" w:ascii="宋体" w:hAnsi="宋体"/>
                <w:b/>
                <w:color w:val="auto"/>
                <w:sz w:val="20"/>
                <w:szCs w:val="20"/>
                <w:highlight w:val="none"/>
              </w:rPr>
              <w:t xml:space="preserve"> </w:t>
            </w:r>
          </w:p>
          <w:p>
            <w:pPr>
              <w:tabs>
                <w:tab w:val="left" w:pos="1080"/>
              </w:tabs>
              <w:spacing w:line="400" w:lineRule="exact"/>
              <w:rPr>
                <w:rFonts w:ascii="宋体" w:hAnsi="宋体"/>
                <w:szCs w:val="21"/>
                <w:highlight w:val="none"/>
                <w:u w:val="single"/>
              </w:rPr>
            </w:pPr>
            <w:r>
              <w:rPr>
                <w:rFonts w:hint="eastAsia" w:ascii="宋体" w:hAnsi="宋体"/>
                <w:b/>
                <w:color w:val="000000" w:themeColor="text1"/>
                <w:sz w:val="20"/>
                <w:szCs w:val="20"/>
                <w:highlight w:val="none"/>
              </w:rPr>
              <w:t xml:space="preserve">不适用条款是 </w:t>
            </w:r>
            <w:r>
              <w:rPr>
                <w:rFonts w:hint="eastAsia" w:ascii="宋体" w:hAnsi="宋体"/>
                <w:b/>
                <w:color w:val="000000" w:themeColor="text1"/>
                <w:sz w:val="20"/>
                <w:szCs w:val="20"/>
                <w:highlight w:val="none"/>
                <w:u w:val="single"/>
              </w:rPr>
              <w:t xml:space="preserve">8.3  </w:t>
            </w:r>
            <w:r>
              <w:rPr>
                <w:rFonts w:hint="eastAsia" w:ascii="宋体" w:hAnsi="宋体"/>
                <w:b/>
                <w:color w:val="000000" w:themeColor="text1"/>
                <w:sz w:val="20"/>
                <w:szCs w:val="20"/>
                <w:highlight w:val="none"/>
              </w:rPr>
              <w:t xml:space="preserve"> ，不适用理由：</w:t>
            </w:r>
            <w:r>
              <w:rPr>
                <w:rFonts w:hint="eastAsia" w:ascii="宋体" w:hAnsi="宋体"/>
                <w:szCs w:val="21"/>
                <w:highlight w:val="none"/>
                <w:u w:val="single"/>
              </w:rPr>
              <w:t>公司依据国家及行业标准进行服务，服务模式固定，不涉及新服务的开发，故GB/T19001-2016标准第8.3条款不适用；不影响为顾客提供满足法律、法规和顾客要求的服务。</w:t>
            </w:r>
          </w:p>
          <w:p>
            <w:pPr>
              <w:tabs>
                <w:tab w:val="left" w:pos="540"/>
                <w:tab w:val="right" w:pos="8781"/>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pStyle w:val="11"/>
              <w:tabs>
                <w:tab w:val="center" w:pos="3169"/>
              </w:tabs>
              <w:spacing w:line="400" w:lineRule="exact"/>
              <w:ind w:firstLine="0" w:firstLineChars="0"/>
              <w:jc w:val="left"/>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w:t>
            </w:r>
            <w:r>
              <w:rPr>
                <w:rFonts w:hint="eastAsia" w:ascii="宋体" w:hAnsi="宋体" w:cs="宋体"/>
                <w:szCs w:val="21"/>
                <w:highlight w:val="none"/>
              </w:rPr>
              <w:t>。</w:t>
            </w:r>
            <w:r>
              <w:rPr>
                <w:rFonts w:hint="eastAsia" w:asciiTheme="minorEastAsia" w:hAnsiTheme="minorEastAsia" w:eastAsiaTheme="minorEastAsia"/>
                <w:bCs/>
                <w:iCs/>
                <w:highlight w:val="none"/>
              </w:rPr>
              <w:t>具体控制措施，包括：火灾事故应急救援预案、触电事故应急救援预案、中暑事故应急救援预案等。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tabs>
                <w:tab w:val="left" w:pos="1080"/>
              </w:tabs>
              <w:spacing w:line="400" w:lineRule="exact"/>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szCs w:val="21"/>
                <w:highlight w:val="none"/>
              </w:rPr>
              <w:t>火灾、职业病 、意外伤害（中暑、触电、机械伤害）。与之</w:t>
            </w:r>
            <w:r>
              <w:rPr>
                <w:rFonts w:hint="eastAsia"/>
                <w:szCs w:val="21"/>
              </w:rPr>
              <w:t>相关的过程有合同评审、方案策划、方案实施、</w:t>
            </w:r>
            <w:r>
              <w:rPr>
                <w:rFonts w:hint="eastAsia" w:ascii="宋体" w:hAnsi="宋体"/>
                <w:color w:val="000000" w:themeColor="text1"/>
              </w:rPr>
              <w:t>交付过程，针对重要危险源制定了管理方案。控制措施实施有效。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auto"/>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w:t>
            </w:r>
            <w:r>
              <w:rPr>
                <w:rFonts w:hint="eastAsia" w:ascii="宋体" w:hAnsi="宋体" w:cs="宋体"/>
                <w:color w:val="auto"/>
                <w:kern w:val="0"/>
                <w:szCs w:val="21"/>
              </w:rPr>
              <w:t>已达到或超过了规定的目标值，但质量目标的数据分析利用不到位</w:t>
            </w:r>
          </w:p>
          <w:p>
            <w:pPr>
              <w:spacing w:line="300" w:lineRule="exact"/>
              <w:ind w:firstLine="420" w:firstLineChars="200"/>
              <w:rPr>
                <w:rFonts w:ascii="宋体" w:hAnsi="宋体" w:cs="宋体"/>
                <w:color w:val="auto"/>
                <w:kern w:val="0"/>
                <w:szCs w:val="21"/>
              </w:rPr>
            </w:pPr>
            <w:r>
              <w:rPr>
                <w:rFonts w:hint="eastAsia" w:ascii="宋体" w:hAnsi="宋体" w:cs="宋体"/>
                <w:color w:val="auto"/>
                <w:kern w:val="0"/>
                <w:szCs w:val="21"/>
              </w:rPr>
              <w:t>管理目标、指标的实现情况：       （考核时间：2020年</w:t>
            </w:r>
            <w:r>
              <w:rPr>
                <w:rFonts w:hint="eastAsia" w:ascii="宋体" w:hAnsi="宋体" w:cs="宋体"/>
                <w:color w:val="auto"/>
                <w:kern w:val="0"/>
                <w:szCs w:val="21"/>
                <w:lang w:val="en-US" w:eastAsia="zh-CN"/>
              </w:rPr>
              <w:t>4</w:t>
            </w:r>
            <w:r>
              <w:rPr>
                <w:rFonts w:hint="eastAsia" w:ascii="宋体" w:hAnsi="宋体" w:cs="宋体"/>
                <w:color w:val="auto"/>
                <w:kern w:val="0"/>
                <w:szCs w:val="21"/>
              </w:rPr>
              <w:t>月-2020年</w:t>
            </w:r>
            <w:r>
              <w:rPr>
                <w:rFonts w:hint="eastAsia" w:ascii="宋体" w:hAnsi="宋体" w:cs="宋体"/>
                <w:color w:val="auto"/>
                <w:kern w:val="0"/>
                <w:szCs w:val="21"/>
                <w:lang w:val="en-US" w:eastAsia="zh-CN"/>
              </w:rPr>
              <w:t>12</w:t>
            </w:r>
            <w:r>
              <w:rPr>
                <w:rFonts w:hint="eastAsia" w:ascii="宋体" w:hAnsi="宋体" w:cs="宋体"/>
                <w:color w:val="auto"/>
                <w:kern w:val="0"/>
                <w:szCs w:val="21"/>
              </w:rPr>
              <w:t>月）</w:t>
            </w:r>
          </w:p>
          <w:p>
            <w:pP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1）、全年设备安全运行率≥95%；</w:t>
            </w:r>
            <w:r>
              <w:rPr>
                <w:rFonts w:hint="eastAsia" w:asciiTheme="minorEastAsia" w:hAnsiTheme="minorEastAsia" w:eastAsiaTheme="minorEastAsia" w:cstheme="minorEastAsia"/>
                <w:color w:val="auto"/>
                <w:szCs w:val="21"/>
                <w:lang w:val="en-US" w:eastAsia="zh-CN"/>
              </w:rPr>
              <w:t xml:space="preserve">                        实测：98%</w:t>
            </w:r>
          </w:p>
          <w:p>
            <w:pPr>
              <w:rPr>
                <w:rFonts w:hint="default" w:asciiTheme="minorEastAsia" w:hAnsiTheme="minorEastAsia" w:eastAsiaTheme="minorEastAsia" w:cstheme="minorEastAsia"/>
                <w:color w:val="auto"/>
                <w:szCs w:val="21"/>
                <w:lang w:val="en-US"/>
              </w:rPr>
            </w:pPr>
            <w:r>
              <w:rPr>
                <w:rFonts w:hint="eastAsia" w:asciiTheme="minorEastAsia" w:hAnsiTheme="minorEastAsia" w:eastAsiaTheme="minorEastAsia" w:cstheme="minorEastAsia"/>
                <w:color w:val="auto"/>
                <w:szCs w:val="21"/>
              </w:rPr>
              <w:t>2）、项目服务完成及时率100%；</w:t>
            </w:r>
            <w:r>
              <w:rPr>
                <w:rFonts w:hint="eastAsia" w:asciiTheme="minorEastAsia" w:hAnsiTheme="minorEastAsia" w:eastAsiaTheme="minorEastAsia" w:cstheme="minorEastAsia"/>
                <w:color w:val="auto"/>
                <w:szCs w:val="21"/>
                <w:lang w:val="en-US" w:eastAsia="zh-CN"/>
              </w:rPr>
              <w:t xml:space="preserve">                        实测：100%</w:t>
            </w:r>
          </w:p>
          <w:p>
            <w:pPr>
              <w:rPr>
                <w:rFonts w:hint="default" w:asciiTheme="minorEastAsia" w:hAnsiTheme="minorEastAsia" w:eastAsiaTheme="minorEastAsia" w:cstheme="minorEastAsia"/>
                <w:color w:val="auto"/>
                <w:szCs w:val="21"/>
                <w:lang w:val="en-US"/>
              </w:rPr>
            </w:pPr>
            <w:r>
              <w:rPr>
                <w:rFonts w:hint="eastAsia" w:asciiTheme="minorEastAsia" w:hAnsiTheme="minorEastAsia" w:eastAsiaTheme="minorEastAsia" w:cstheme="minorEastAsia"/>
                <w:color w:val="auto"/>
                <w:szCs w:val="21"/>
              </w:rPr>
              <w:t>3）、客户对服务满意率≥90%以上。</w:t>
            </w:r>
            <w:r>
              <w:rPr>
                <w:rFonts w:hint="eastAsia" w:asciiTheme="minorEastAsia" w:hAnsiTheme="minorEastAsia" w:eastAsiaTheme="minorEastAsia" w:cstheme="minorEastAsia"/>
                <w:color w:val="auto"/>
                <w:szCs w:val="21"/>
                <w:lang w:val="en-US" w:eastAsia="zh-CN"/>
              </w:rPr>
              <w:t xml:space="preserve">                      实测：91%</w:t>
            </w:r>
          </w:p>
          <w:p>
            <w:pPr>
              <w:rPr>
                <w:rFonts w:hint="default" w:asciiTheme="minorEastAsia" w:hAnsiTheme="minorEastAsia" w:eastAsiaTheme="minorEastAsia" w:cstheme="minorEastAsia"/>
                <w:color w:val="auto"/>
                <w:szCs w:val="21"/>
                <w:lang w:val="en-US"/>
              </w:rPr>
            </w:pPr>
            <w:r>
              <w:rPr>
                <w:rFonts w:hint="eastAsia" w:asciiTheme="minorEastAsia" w:hAnsiTheme="minorEastAsia" w:eastAsiaTheme="minorEastAsia" w:cstheme="minorEastAsia"/>
                <w:color w:val="auto"/>
                <w:szCs w:val="21"/>
                <w:lang w:val="en-US" w:eastAsia="zh-CN"/>
              </w:rPr>
              <w:t>4）</w:t>
            </w:r>
            <w:r>
              <w:rPr>
                <w:rFonts w:hint="eastAsia" w:asciiTheme="minorEastAsia" w:hAnsiTheme="minorEastAsia" w:eastAsiaTheme="minorEastAsia" w:cstheme="minorEastAsia"/>
                <w:color w:val="auto"/>
                <w:szCs w:val="21"/>
              </w:rPr>
              <w:t>、生活垃圾及时清运100%</w:t>
            </w:r>
            <w:r>
              <w:rPr>
                <w:rFonts w:hint="eastAsia" w:asciiTheme="minorEastAsia" w:hAnsiTheme="minorEastAsia" w:eastAsiaTheme="minorEastAsia" w:cstheme="minorEastAsia"/>
                <w:color w:val="auto"/>
                <w:szCs w:val="21"/>
                <w:lang w:val="en-US" w:eastAsia="zh-CN"/>
              </w:rPr>
              <w:t xml:space="preserve">                            实测：100%</w:t>
            </w:r>
          </w:p>
          <w:p>
            <w:pPr>
              <w:rPr>
                <w:rFonts w:hint="default" w:asciiTheme="minorEastAsia" w:hAnsiTheme="minorEastAsia" w:eastAsiaTheme="minorEastAsia" w:cstheme="minorEastAsia"/>
                <w:color w:val="auto"/>
                <w:szCs w:val="21"/>
                <w:lang w:val="en-US"/>
              </w:rPr>
            </w:pP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、固体废弃物分类收集，回收率100%</w:t>
            </w:r>
            <w:r>
              <w:rPr>
                <w:rFonts w:hint="eastAsia" w:asciiTheme="minorEastAsia" w:hAnsiTheme="minorEastAsia" w:eastAsiaTheme="minorEastAsia" w:cstheme="minorEastAsia"/>
                <w:color w:val="auto"/>
                <w:szCs w:val="21"/>
                <w:lang w:val="en-US" w:eastAsia="zh-CN"/>
              </w:rPr>
              <w:t xml:space="preserve">                  实测：100%</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、年环境污染事故（事件)发生为0</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lang w:val="en-US" w:eastAsia="zh-CN"/>
              </w:rPr>
              <w:t>实测：零</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、火灾事故为零</w:t>
            </w:r>
            <w:r>
              <w:rPr>
                <w:rFonts w:hint="eastAsia" w:asciiTheme="minorEastAsia" w:hAnsiTheme="minorEastAsia" w:eastAsiaTheme="minorEastAsia" w:cstheme="minorEastAsia"/>
                <w:color w:val="auto"/>
                <w:szCs w:val="21"/>
                <w:lang w:val="en-US" w:eastAsia="zh-CN"/>
              </w:rPr>
              <w:t xml:space="preserve">                                     实测：零</w:t>
            </w:r>
          </w:p>
          <w:p>
            <w:pP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8）</w:t>
            </w:r>
            <w:r>
              <w:rPr>
                <w:rFonts w:hint="eastAsia" w:asciiTheme="minorEastAsia" w:hAnsiTheme="minorEastAsia" w:eastAsiaTheme="minorEastAsia" w:cstheme="minorEastAsia"/>
                <w:color w:val="auto"/>
                <w:szCs w:val="21"/>
              </w:rPr>
              <w:t>、职业病发病率为零</w:t>
            </w:r>
            <w:r>
              <w:rPr>
                <w:rFonts w:hint="eastAsia" w:asciiTheme="minorEastAsia" w:hAnsiTheme="minorEastAsia" w:eastAsiaTheme="minorEastAsia" w:cstheme="minorEastAsia"/>
                <w:color w:val="auto"/>
                <w:szCs w:val="21"/>
                <w:lang w:val="en-US" w:eastAsia="zh-CN"/>
              </w:rPr>
              <w:t xml:space="preserve">                                 实测：零</w:t>
            </w:r>
          </w:p>
          <w:p>
            <w:pPr>
              <w:rPr>
                <w:rFonts w:hint="default" w:asciiTheme="minorEastAsia" w:hAnsiTheme="minorEastAsia" w:eastAsiaTheme="minorEastAsia" w:cstheme="minorEastAsia"/>
                <w:color w:val="0000FF"/>
                <w:szCs w:val="21"/>
                <w:lang w:val="en-US" w:eastAsia="zh-CN"/>
              </w:rPr>
            </w:pPr>
            <w:r>
              <w:rPr>
                <w:rFonts w:hint="eastAsia" w:asciiTheme="minorEastAsia" w:hAnsiTheme="minorEastAsia" w:eastAsiaTheme="minorEastAsia" w:cstheme="minorEastAsia"/>
                <w:color w:val="auto"/>
                <w:szCs w:val="21"/>
                <w:highlight w:val="none"/>
                <w:lang w:val="en-US" w:eastAsia="zh-CN"/>
              </w:rPr>
              <w:t xml:space="preserve">9）、意外伤害事故发生率为零                           </w:t>
            </w:r>
            <w:r>
              <w:rPr>
                <w:rFonts w:hint="eastAsia" w:asciiTheme="minorEastAsia" w:hAnsiTheme="minorEastAsia" w:eastAsiaTheme="minorEastAsia" w:cstheme="minorEastAsia"/>
                <w:color w:val="auto"/>
                <w:szCs w:val="21"/>
                <w:lang w:val="en-US" w:eastAsia="zh-CN"/>
              </w:rPr>
              <w:t>实测：零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04</w:t>
            </w:r>
            <w:r>
              <w:rPr>
                <w:rFonts w:hint="eastAsia" w:ascii="宋体" w:hAnsi="宋体" w:cs="宋体"/>
                <w:color w:val="000000" w:themeColor="text1"/>
              </w:rPr>
              <w:t>月</w:t>
            </w:r>
            <w:r>
              <w:rPr>
                <w:rFonts w:hint="eastAsia" w:ascii="宋体" w:hAnsi="宋体" w:cs="宋体"/>
                <w:color w:val="000000" w:themeColor="text1"/>
                <w:lang w:val="en-US" w:eastAsia="zh-CN"/>
              </w:rPr>
              <w:t>0</w:t>
            </w:r>
            <w:r>
              <w:rPr>
                <w:rFonts w:hint="eastAsia" w:ascii="宋体" w:hAnsi="宋体" w:cs="宋体"/>
                <w:color w:val="000000" w:themeColor="text1"/>
              </w:rPr>
              <w:t>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rPr>
                <w:rFonts w:ascii="宋体" w:hAnsi="宋体"/>
                <w:bCs/>
                <w:iCs/>
                <w:szCs w:val="21"/>
              </w:rPr>
            </w:pPr>
            <w:r>
              <w:rPr>
                <w:rFonts w:hint="eastAsia" w:ascii="宋体" w:hAnsi="宋体"/>
                <w:bCs/>
                <w:iCs/>
              </w:rPr>
              <w:t>组</w:t>
            </w:r>
            <w:r>
              <w:rPr>
                <w:rFonts w:hint="eastAsia" w:ascii="宋体" w:hAnsi="宋体"/>
                <w:bCs/>
                <w:iCs/>
                <w:szCs w:val="22"/>
              </w:rPr>
              <w:t>织按管理体系</w:t>
            </w:r>
            <w:r>
              <w:rPr>
                <w:rFonts w:hint="eastAsia" w:ascii="宋体" w:hAnsi="宋体"/>
                <w:bCs/>
                <w:iCs/>
                <w:szCs w:val="21"/>
              </w:rPr>
              <w:t>需求配置了充足的人员、设施、监视和测量设备等资源，并建立维持了</w:t>
            </w:r>
            <w:r>
              <w:rPr>
                <w:sz w:val="20"/>
              </w:rPr>
              <w:t>许可范围内道路清扫</w:t>
            </w:r>
            <w:r>
              <w:rPr>
                <w:rFonts w:hint="eastAsia" w:ascii="宋体" w:hAnsi="宋体"/>
                <w:szCs w:val="21"/>
              </w:rPr>
              <w:t>的</w:t>
            </w:r>
            <w:r>
              <w:rPr>
                <w:rFonts w:hint="eastAsia" w:ascii="宋体" w:hAnsi="宋体"/>
                <w:bCs/>
                <w:iCs/>
                <w:szCs w:val="21"/>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rPr>
              <w:t>设备设施（包括信息系统）、</w:t>
            </w:r>
          </w:p>
          <w:p>
            <w:pPr>
              <w:rPr>
                <w:rFonts w:ascii="宋体" w:hAnsi="宋体"/>
                <w:b/>
                <w:color w:val="000000" w:themeColor="text1"/>
                <w:sz w:val="20"/>
                <w:szCs w:val="20"/>
              </w:rPr>
            </w:pPr>
            <w:r>
              <w:rPr>
                <w:rFonts w:hint="eastAsia" w:ascii="宋体" w:hAnsi="宋体"/>
                <w:szCs w:val="21"/>
                <w:highlight w:val="none"/>
              </w:rPr>
              <w:t>公司拥有办公面积2</w:t>
            </w:r>
            <w:r>
              <w:rPr>
                <w:rFonts w:hint="eastAsia" w:ascii="宋体" w:hAnsi="宋体"/>
                <w:szCs w:val="21"/>
                <w:highlight w:val="none"/>
                <w:lang w:val="en-US" w:eastAsia="zh-CN"/>
              </w:rPr>
              <w:t>5</w:t>
            </w:r>
            <w:r>
              <w:rPr>
                <w:rFonts w:hint="eastAsia" w:ascii="宋体" w:hAnsi="宋体"/>
                <w:szCs w:val="21"/>
                <w:highlight w:val="none"/>
              </w:rPr>
              <w:t>0平方米</w:t>
            </w:r>
            <w:r>
              <w:rPr>
                <w:rFonts w:hint="eastAsia" w:ascii="宋体" w:hAnsi="宋体" w:cs="宋体"/>
                <w:szCs w:val="21"/>
                <w:highlight w:val="none"/>
              </w:rPr>
              <w:t>，主要设备为主要设备</w:t>
            </w:r>
            <w:r>
              <w:rPr>
                <w:rFonts w:hint="eastAsia" w:ascii="宋体" w:hAnsi="宋体" w:cs="宋体"/>
                <w:szCs w:val="21"/>
                <w:highlight w:val="none"/>
              </w:rPr>
              <w:t>办公设备（电脑、打印机、复印机等）、垃圾清运车、</w:t>
            </w:r>
            <w:r>
              <w:rPr>
                <w:rFonts w:hint="eastAsia" w:ascii="宋体" w:hAnsi="宋体" w:cs="宋体"/>
                <w:szCs w:val="21"/>
                <w:highlight w:val="none"/>
                <w:lang w:val="en-US" w:eastAsia="zh-CN"/>
              </w:rPr>
              <w:t>洒</w:t>
            </w:r>
            <w:r>
              <w:rPr>
                <w:rFonts w:hint="eastAsia" w:ascii="宋体" w:hAnsi="宋体" w:cs="宋体"/>
                <w:szCs w:val="21"/>
                <w:highlight w:val="none"/>
              </w:rPr>
              <w:t>水车（租赁，提供租赁合同见附件）、方铲、高压水枪、高压清洗机架子、扫把等设备，可以满足</w:t>
            </w:r>
            <w:r>
              <w:rPr>
                <w:rFonts w:hint="eastAsia"/>
                <w:szCs w:val="21"/>
                <w:highlight w:val="none"/>
                <w:lang w:eastAsia="zh-CN"/>
              </w:rPr>
              <w:t>许可范围内道路清扫</w:t>
            </w:r>
            <w:r>
              <w:rPr>
                <w:rFonts w:hint="eastAsia" w:ascii="宋体" w:hAnsi="宋体"/>
                <w:szCs w:val="21"/>
                <w:highlight w:val="none"/>
              </w:rPr>
              <w:t>的</w:t>
            </w:r>
            <w:r>
              <w:rPr>
                <w:rFonts w:hint="eastAsia" w:ascii="宋体" w:hAnsi="宋体" w:cs="宋体"/>
                <w:szCs w:val="21"/>
                <w:highlight w:val="none"/>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办公所场设备布置合理，通道畅通，照明设施齐全，均配备了消防设施等设施。办公室明亮，服务场所光线较充足。每月由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highlight w:val="none"/>
              </w:rPr>
            </w:pPr>
            <w:r>
              <w:rPr>
                <w:rFonts w:hint="eastAsia"/>
              </w:rPr>
              <w:t>监视</w:t>
            </w:r>
            <w:r>
              <w:rPr>
                <w:rFonts w:hint="eastAsia"/>
                <w:highlight w:val="none"/>
              </w:rPr>
              <w:t>和测量资源</w:t>
            </w:r>
          </w:p>
          <w:p>
            <w:pPr>
              <w:spacing w:line="400" w:lineRule="exact"/>
              <w:rPr>
                <w:rFonts w:hint="eastAsia" w:eastAsia="宋体"/>
                <w:lang w:eastAsia="zh-CN"/>
              </w:rPr>
            </w:pPr>
            <w:r>
              <w:rPr>
                <w:rFonts w:hint="eastAsia" w:ascii="宋体" w:hAnsi="宋体"/>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配电箱、灭火器等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w:t>
            </w:r>
            <w:r>
              <w:rPr>
                <w:rFonts w:hint="eastAsia" w:asciiTheme="minorEastAsia" w:hAnsiTheme="minorEastAsia" w:eastAsiaTheme="minorEastAsia"/>
                <w:bCs/>
                <w:iCs/>
                <w:lang w:eastAsia="zh-CN"/>
              </w:rPr>
              <w:t>：</w:t>
            </w:r>
            <w:r>
              <w:rPr>
                <w:rFonts w:hint="eastAsia" w:ascii="宋体" w:hAnsi="宋体" w:cs="宋体"/>
                <w:szCs w:val="21"/>
                <w:highlight w:val="none"/>
              </w:rPr>
              <w:t>潜在火灾、固废的排放、粉尘的排放、废水的排放</w:t>
            </w:r>
            <w:r>
              <w:rPr>
                <w:rFonts w:hint="eastAsia" w:asciiTheme="minorEastAsia" w:hAnsiTheme="minorEastAsia" w:eastAsiaTheme="minorEastAsia"/>
                <w:bCs/>
                <w:iCs/>
                <w:highlight w:val="none"/>
              </w:rPr>
              <w:t>，需要应对的风险和机遇相关的过程为维保服务过程，建立了控制过程的识别、策划控制程序，控制措施实施</w:t>
            </w:r>
            <w:r>
              <w:rPr>
                <w:rFonts w:hint="eastAsia" w:asciiTheme="minorEastAsia" w:hAnsiTheme="minorEastAsia" w:eastAsiaTheme="minorEastAsia"/>
                <w:bCs/>
                <w:iCs/>
              </w:rPr>
              <w:t>有效性（包括组织自身的污染预防控制及对相关方的控制）；组织在运行策划时，基于产品生命周期的思维，识别了</w:t>
            </w:r>
            <w:r>
              <w:rPr>
                <w:rFonts w:hint="eastAsia" w:asciiTheme="minorEastAsia" w:hAnsiTheme="minorEastAsia" w:eastAsiaTheme="minorEastAsia"/>
                <w:bCs/>
                <w:iCs/>
                <w:highlight w:val="none"/>
              </w:rPr>
              <w:t>整个过程的环境影响。具体控制措施，包括：固废</w:t>
            </w:r>
            <w:r>
              <w:rPr>
                <w:rFonts w:hint="eastAsia" w:asciiTheme="minorEastAsia" w:hAnsiTheme="minorEastAsia" w:eastAsiaTheme="minorEastAsia"/>
                <w:bCs/>
                <w:iCs/>
                <w:highlight w:val="none"/>
                <w:lang w:eastAsia="zh-CN"/>
              </w:rPr>
              <w:t>、</w:t>
            </w:r>
            <w:r>
              <w:rPr>
                <w:rFonts w:hint="eastAsia" w:asciiTheme="minorEastAsia" w:hAnsiTheme="minorEastAsia" w:eastAsiaTheme="minorEastAsia"/>
                <w:bCs/>
                <w:iCs/>
                <w:highlight w:val="none"/>
                <w:lang w:val="en-US" w:eastAsia="zh-CN"/>
              </w:rPr>
              <w:t>粉尘、废水</w:t>
            </w:r>
            <w:r>
              <w:rPr>
                <w:rFonts w:hint="eastAsia" w:ascii="宋体" w:hAnsi="宋体" w:cs="宋体"/>
                <w:szCs w:val="21"/>
                <w:highlight w:val="none"/>
                <w:lang w:val="en-US" w:eastAsia="zh-CN"/>
              </w:rPr>
              <w:t>排放</w:t>
            </w:r>
            <w:r>
              <w:rPr>
                <w:rFonts w:hint="eastAsia" w:asciiTheme="minorEastAsia" w:hAnsiTheme="minorEastAsia" w:eastAsiaTheme="minorEastAsia"/>
                <w:bCs/>
                <w:iCs/>
                <w:highlight w:val="none"/>
              </w:rPr>
              <w:t>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8. OHS 组织对不可接受风险实施控制的结果</w:t>
            </w:r>
          </w:p>
          <w:p>
            <w:pPr>
              <w:tabs>
                <w:tab w:val="left" w:pos="1080"/>
              </w:tabs>
              <w:spacing w:line="400" w:lineRule="exact"/>
              <w:rPr>
                <w:rFonts w:asciiTheme="minorEastAsia" w:hAnsiTheme="minorEastAsia" w:eastAsiaTheme="minorEastAsia"/>
                <w:bCs/>
                <w:iCs/>
              </w:rPr>
            </w:pPr>
            <w:r>
              <w:rPr>
                <w:rFonts w:hint="eastAsia" w:asciiTheme="minorEastAsia" w:hAnsiTheme="minorEastAsia" w:eastAsiaTheme="minorEastAsia"/>
                <w:bCs/>
                <w:iCs/>
                <w:highlight w:val="none"/>
              </w:rPr>
              <w:t>组织建立了危险源识别、评价控制程序，识别评价了危险源、风险相关的过程，评价出了</w:t>
            </w:r>
            <w:r>
              <w:rPr>
                <w:rFonts w:hint="eastAsia"/>
                <w:szCs w:val="21"/>
                <w:highlight w:val="none"/>
              </w:rPr>
              <w:t>火灾、职业病 、意外伤害（中暑、触电、机械伤害）</w:t>
            </w:r>
            <w:r>
              <w:rPr>
                <w:rFonts w:hint="eastAsia" w:ascii="宋体" w:hAnsi="宋体"/>
                <w:szCs w:val="21"/>
                <w:highlight w:val="none"/>
              </w:rPr>
              <w:t>等</w:t>
            </w:r>
            <w:r>
              <w:rPr>
                <w:rFonts w:hint="eastAsia" w:asciiTheme="minorEastAsia" w:hAnsiTheme="minorEastAsia" w:eastAsiaTheme="minorEastAsia"/>
                <w:bCs/>
                <w:iCs/>
                <w:highlight w:val="none"/>
              </w:rPr>
              <w:t>重要危险源，与之相关的过程有</w:t>
            </w:r>
            <w:r>
              <w:rPr>
                <w:rFonts w:hint="eastAsia" w:asciiTheme="minorEastAsia" w:hAnsiTheme="minorEastAsia" w:eastAsiaTheme="minorEastAsia"/>
                <w:bCs/>
                <w:iCs/>
              </w:rPr>
              <w:t>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w:t>
            </w:r>
            <w:r>
              <w:rPr>
                <w:rFonts w:hint="eastAsia" w:ascii="宋体" w:hAnsi="宋体" w:cs="宋体"/>
                <w:color w:val="000000"/>
                <w:szCs w:val="21"/>
                <w:highlight w:val="none"/>
              </w:rPr>
              <w:t>沟通和监视评价，通过数据的汇总统计、描述性统计等方法对目标进行了测量，总体已达到或超过了规定的目标值。通过</w:t>
            </w:r>
            <w:r>
              <w:rPr>
                <w:rFonts w:hint="eastAsia" w:ascii="宋体" w:hAnsi="宋体" w:cs="宋体"/>
                <w:szCs w:val="21"/>
                <w:highlight w:val="none"/>
              </w:rPr>
              <w:t>2020年</w:t>
            </w:r>
            <w:r>
              <w:rPr>
                <w:rFonts w:hint="eastAsia" w:ascii="宋体" w:hAnsi="宋体" w:cs="宋体"/>
                <w:szCs w:val="21"/>
                <w:highlight w:val="none"/>
                <w:lang w:val="en-US" w:eastAsia="zh-CN"/>
              </w:rPr>
              <w:t>4</w:t>
            </w:r>
            <w:r>
              <w:rPr>
                <w:rFonts w:hint="eastAsia" w:ascii="宋体" w:hAnsi="宋体" w:cs="宋体"/>
                <w:szCs w:val="21"/>
                <w:highlight w:val="none"/>
              </w:rPr>
              <w:t>月-2020年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w:t>
            </w:r>
            <w:r>
              <w:rPr>
                <w:rFonts w:hint="eastAsia" w:ascii="宋体" w:hAnsi="宋体" w:cs="宋体"/>
                <w:color w:val="000000"/>
                <w:szCs w:val="21"/>
                <w:highlight w:val="none"/>
              </w:rPr>
              <w:t>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2020年</w:t>
            </w:r>
            <w:r>
              <w:rPr>
                <w:rFonts w:hint="eastAsia" w:ascii="宋体" w:hAnsi="宋体" w:cs="宋体"/>
                <w:szCs w:val="21"/>
                <w:highlight w:val="none"/>
                <w:lang w:val="en-US" w:eastAsia="zh-CN"/>
              </w:rPr>
              <w:t>6</w:t>
            </w:r>
            <w:r>
              <w:rPr>
                <w:rFonts w:hint="eastAsia" w:ascii="宋体" w:hAnsi="宋体" w:cs="宋体"/>
                <w:szCs w:val="21"/>
                <w:highlight w:val="none"/>
              </w:rPr>
              <w:t>月实施，</w:t>
            </w:r>
            <w:r>
              <w:rPr>
                <w:rFonts w:hint="eastAsia" w:ascii="宋体" w:hAnsi="宋体" w:cs="宋体"/>
                <w:szCs w:val="21"/>
                <w:highlight w:val="none"/>
              </w:rPr>
              <w:t>满意度评价9</w:t>
            </w:r>
            <w:r>
              <w:rPr>
                <w:rFonts w:hint="eastAsia" w:ascii="宋体" w:hAnsi="宋体" w:cs="宋体"/>
                <w:szCs w:val="21"/>
                <w:highlight w:val="none"/>
                <w:lang w:val="en-US" w:eastAsia="zh-CN"/>
              </w:rPr>
              <w:t>1%</w:t>
            </w:r>
            <w:r>
              <w:rPr>
                <w:rFonts w:hint="eastAsia" w:ascii="宋体" w:hAnsi="宋体" w:cs="宋体"/>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r>
              <w:rPr>
                <w:rFonts w:hint="eastAsia" w:ascii="宋体" w:hAnsi="宋体"/>
                <w:szCs w:val="21"/>
                <w:lang w:val="en-US" w:eastAsia="zh-CN"/>
              </w:rPr>
              <w:t>2</w:t>
            </w:r>
            <w:r>
              <w:rPr>
                <w:rFonts w:hint="eastAsia" w:ascii="宋体" w:hAnsi="宋体"/>
                <w:szCs w:val="21"/>
              </w:rPr>
              <w:t>日，拟定了审核实施表，明确</w:t>
            </w:r>
            <w:r>
              <w:rPr>
                <w:rFonts w:hint="eastAsia" w:ascii="宋体" w:hAnsi="宋体"/>
                <w:szCs w:val="21"/>
                <w:highlight w:val="none"/>
              </w:rPr>
              <w:t>了内审范围，内审人员经培训合格上岗，能力满足要求，未出现审核本部门情况，内审不符合项</w:t>
            </w:r>
            <w:r>
              <w:rPr>
                <w:rFonts w:hint="eastAsia" w:ascii="宋体" w:hAnsi="宋体"/>
                <w:szCs w:val="21"/>
                <w:highlight w:val="none"/>
                <w:lang w:val="en-US" w:eastAsia="zh-CN"/>
              </w:rPr>
              <w:t>2</w:t>
            </w:r>
            <w:r>
              <w:rPr>
                <w:rFonts w:hint="eastAsia" w:ascii="宋体" w:hAnsi="宋体"/>
                <w:szCs w:val="21"/>
                <w:highlight w:val="none"/>
              </w:rPr>
              <w:t>项，</w:t>
            </w:r>
            <w:r>
              <w:rPr>
                <w:rFonts w:hint="eastAsia" w:ascii="宋体" w:hAnsi="宋体"/>
                <w:szCs w:val="21"/>
                <w:highlight w:val="none"/>
                <w:lang w:val="en-US" w:eastAsia="zh-CN"/>
              </w:rPr>
              <w:t>1）</w:t>
            </w:r>
            <w:r>
              <w:rPr>
                <w:rFonts w:hint="eastAsia" w:ascii="宋体" w:hAnsi="宋体"/>
                <w:szCs w:val="21"/>
                <w:highlight w:val="none"/>
              </w:rPr>
              <w:t>涉及市场拓展部S</w:t>
            </w:r>
            <w:r>
              <w:rPr>
                <w:rFonts w:hint="eastAsia" w:ascii="宋体" w:hAnsi="宋体"/>
                <w:szCs w:val="21"/>
                <w:highlight w:val="none"/>
                <w:lang w:val="en-US" w:eastAsia="zh-CN"/>
              </w:rPr>
              <w:t>8</w:t>
            </w:r>
            <w:r>
              <w:rPr>
                <w:rFonts w:hint="eastAsia" w:ascii="宋体" w:hAnsi="宋体"/>
                <w:szCs w:val="21"/>
                <w:highlight w:val="none"/>
              </w:rPr>
              <w:t>.2条款查市场拓展部现场,发现现场有一灭火器过期末更换,末见日常安全检查的证据。</w:t>
            </w:r>
            <w:r>
              <w:rPr>
                <w:rFonts w:hint="eastAsia" w:ascii="宋体" w:hAnsi="宋体"/>
                <w:szCs w:val="21"/>
                <w:highlight w:val="none"/>
                <w:lang w:val="en-US" w:eastAsia="zh-CN"/>
              </w:rPr>
              <w:t>2）</w:t>
            </w:r>
            <w:r>
              <w:rPr>
                <w:rFonts w:hint="eastAsia" w:ascii="宋体" w:hAnsi="宋体"/>
                <w:szCs w:val="21"/>
                <w:highlight w:val="none"/>
              </w:rPr>
              <w:t>涉及市场拓展部</w:t>
            </w:r>
            <w:r>
              <w:rPr>
                <w:rFonts w:hint="eastAsia" w:ascii="宋体" w:hAnsi="宋体"/>
                <w:szCs w:val="21"/>
                <w:highlight w:val="none"/>
                <w:lang w:val="en-US" w:eastAsia="zh-CN"/>
              </w:rPr>
              <w:t>Q7.1.3</w:t>
            </w:r>
            <w:r>
              <w:rPr>
                <w:rFonts w:hint="eastAsia" w:ascii="宋体" w:hAnsi="宋体"/>
                <w:szCs w:val="21"/>
                <w:highlight w:val="none"/>
              </w:rPr>
              <w:t>条款不能提供对本部门2020年度设备维保计划的证据。针对该不符</w:t>
            </w:r>
            <w:r>
              <w:rPr>
                <w:rFonts w:hint="eastAsia" w:ascii="宋体" w:hAnsi="宋体"/>
                <w:szCs w:val="21"/>
              </w:rPr>
              <w:t>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u w:val="single"/>
          <w:lang w:val="en-US" w:eastAsia="zh-CN"/>
        </w:rPr>
        <w:t>2</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u w:val="single"/>
          <w:lang w:val="en-US" w:eastAsia="zh-CN"/>
        </w:rPr>
        <w:t>0</w:t>
      </w:r>
      <w:r>
        <w:rPr>
          <w:rFonts w:hint="eastAsia"/>
          <w:b/>
          <w:color w:val="000000" w:themeColor="text1"/>
          <w:highlight w:val="none"/>
        </w:rPr>
        <w:t>项，一般不符合</w:t>
      </w:r>
      <w:r>
        <w:rPr>
          <w:rFonts w:hint="eastAsia"/>
          <w:b/>
          <w:color w:val="000000" w:themeColor="text1"/>
          <w:highlight w:val="none"/>
          <w:u w:val="single"/>
          <w:lang w:val="en-US" w:eastAsia="zh-CN"/>
        </w:rPr>
        <w:t>2</w:t>
      </w:r>
      <w:r>
        <w:rPr>
          <w:rFonts w:hint="eastAsia"/>
          <w:b/>
          <w:color w:val="000000" w:themeColor="text1"/>
          <w:highlight w:val="none"/>
        </w:rPr>
        <w:t>项，观察项</w:t>
      </w:r>
      <w:r>
        <w:rPr>
          <w:rFonts w:hint="eastAsia"/>
          <w:b/>
          <w:color w:val="000000" w:themeColor="text1"/>
          <w:highlight w:val="none"/>
          <w:u w:val="single"/>
          <w:lang w:val="en-US" w:eastAsia="zh-CN"/>
        </w:rPr>
        <w:t>0</w:t>
      </w:r>
      <w:r>
        <w:rPr>
          <w:rFonts w:hint="eastAsia"/>
          <w:b/>
          <w:color w:val="000000" w:themeColor="text1"/>
          <w:highlight w:val="none"/>
        </w:rPr>
        <w:t>项分布在</w:t>
      </w:r>
      <w:r>
        <w:rPr>
          <w:rFonts w:hint="eastAsia"/>
          <w:b/>
          <w:color w:val="000000" w:themeColor="text1"/>
          <w:highlight w:val="none"/>
          <w:u w:val="single"/>
          <w:lang w:val="en-US" w:eastAsia="zh-CN"/>
        </w:rPr>
        <w:t>行政部</w:t>
      </w:r>
      <w:r>
        <w:rPr>
          <w:rFonts w:hint="eastAsia"/>
          <w:b/>
          <w:color w:val="000000" w:themeColor="text1"/>
          <w:highlight w:val="none"/>
        </w:rPr>
        <w:t>部门</w:t>
      </w:r>
      <w:r>
        <w:rPr>
          <w:rFonts w:hint="eastAsia"/>
          <w:b/>
          <w:color w:val="000000" w:themeColor="text1"/>
          <w:highlight w:val="none"/>
          <w:u w:val="single"/>
          <w:lang w:val="en-US" w:eastAsia="zh-CN"/>
        </w:rPr>
        <w:t>Q7.2/ES9.1.2</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z w:val="22"/>
                <w:szCs w:val="22"/>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sz w:val="20"/>
              </w:rPr>
              <w:t>许可范围内道路清扫</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rPr>
              <w:t>许可范围内道路清扫所涉及场所的相关环境管理活动</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sz w:val="20"/>
              </w:rPr>
              <w:t>许可范围内道路清扫所涉及场所的相关职业健康安全管理活动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20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b/>
          <w:bCs/>
          <w:color w:val="000000" w:themeColor="text1"/>
          <w:kern w:val="24"/>
          <w:sz w:val="28"/>
          <w:szCs w:val="28"/>
        </w:rPr>
        <w:t xml:space="preserve"> 任何影响审核方案的重要事项</w:t>
      </w:r>
      <w:r>
        <w:rPr>
          <w:rFonts w:hint="eastAsia"/>
          <w:b/>
          <w:bCs/>
          <w:color w:val="000000" w:themeColor="text1"/>
          <w:sz w:val="26"/>
          <w:szCs w:val="26"/>
        </w:rPr>
        <w:t>：</w:t>
      </w:r>
      <w:r>
        <w:rPr>
          <w:rFonts w:hint="eastAsia"/>
          <w:b/>
          <w:bCs/>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ascii="宋体" w:hAnsi="宋体"/>
        </w:rPr>
        <w:drawing>
          <wp:anchor distT="0" distB="0" distL="114300" distR="114300" simplePos="0" relativeHeight="251662336" behindDoc="0" locked="0" layoutInCell="1" allowOverlap="1">
            <wp:simplePos x="0" y="0"/>
            <wp:positionH relativeFrom="column">
              <wp:posOffset>1654175</wp:posOffset>
            </wp:positionH>
            <wp:positionV relativeFrom="paragraph">
              <wp:posOffset>329565</wp:posOffset>
            </wp:positionV>
            <wp:extent cx="387985" cy="398780"/>
            <wp:effectExtent l="0" t="0" r="8255" b="12700"/>
            <wp:wrapNone/>
            <wp:docPr id="4"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19-09-04 21.08.47.jpg"/>
                    <pic:cNvPicPr>
                      <a:picLocks noChangeAspect="1"/>
                    </pic:cNvPicPr>
                  </pic:nvPicPr>
                  <pic:blipFill>
                    <a:blip r:embed="rId6"/>
                    <a:stretch>
                      <a:fillRect/>
                    </a:stretch>
                  </pic:blipFill>
                  <pic:spPr>
                    <a:xfrm>
                      <a:off x="0" y="0"/>
                      <a:ext cx="387985" cy="39878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689984" behindDoc="0" locked="0" layoutInCell="1" allowOverlap="1">
            <wp:simplePos x="0" y="0"/>
            <wp:positionH relativeFrom="column">
              <wp:posOffset>2117090</wp:posOffset>
            </wp:positionH>
            <wp:positionV relativeFrom="paragraph">
              <wp:posOffset>122555</wp:posOffset>
            </wp:positionV>
            <wp:extent cx="590550" cy="426720"/>
            <wp:effectExtent l="0" t="0" r="3810" b="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590550" cy="426720"/>
                    </a:xfrm>
                    <a:prstGeom prst="rect">
                      <a:avLst/>
                    </a:prstGeom>
                    <a:noFill/>
                    <a:ln>
                      <a:noFill/>
                    </a:ln>
                  </pic:spPr>
                </pic:pic>
              </a:graphicData>
            </a:graphic>
          </wp:anchor>
        </w:drawing>
      </w:r>
      <w:r>
        <w:rPr>
          <w:rFonts w:hint="eastAsia"/>
          <w:b/>
          <w:sz w:val="22"/>
          <w:szCs w:val="22"/>
        </w:rPr>
        <w:drawing>
          <wp:anchor distT="0" distB="0" distL="114300" distR="114300" simplePos="0" relativeHeight="251691008" behindDoc="0" locked="0" layoutInCell="1" allowOverlap="1">
            <wp:simplePos x="0" y="0"/>
            <wp:positionH relativeFrom="column">
              <wp:posOffset>1647825</wp:posOffset>
            </wp:positionH>
            <wp:positionV relativeFrom="paragraph">
              <wp:posOffset>161925</wp:posOffset>
            </wp:positionV>
            <wp:extent cx="422910" cy="320040"/>
            <wp:effectExtent l="0" t="0" r="3810" b="0"/>
            <wp:wrapNone/>
            <wp:docPr id="5"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strator\Desktop\签名.jpg"/>
                    <pic:cNvPicPr>
                      <a:picLocks noChangeAspect="1"/>
                    </pic:cNvPicPr>
                  </pic:nvPicPr>
                  <pic:blipFill>
                    <a:blip r:embed="rId8"/>
                    <a:stretch>
                      <a:fillRect/>
                    </a:stretch>
                  </pic:blipFill>
                  <pic:spPr>
                    <a:xfrm>
                      <a:off x="0" y="0"/>
                      <a:ext cx="422910" cy="32004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06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auto"/>
          <w:sz w:val="26"/>
          <w:szCs w:val="26"/>
        </w:rPr>
      </w:pPr>
      <w:r>
        <w:rPr>
          <w:rFonts w:hint="eastAsia"/>
          <w:b/>
          <w:color w:val="000000" w:themeColor="text1"/>
          <w:sz w:val="26"/>
          <w:szCs w:val="26"/>
        </w:rPr>
        <w:t>十五、纠正措施验证</w:t>
      </w:r>
      <w:r>
        <w:rPr>
          <w:rFonts w:hint="eastAsia"/>
          <w:b/>
          <w:color w:val="auto"/>
          <w:sz w:val="26"/>
          <w:szCs w:val="26"/>
        </w:rPr>
        <w:t>结论：</w:t>
      </w:r>
    </w:p>
    <w:p>
      <w:pPr>
        <w:snapToGrid w:val="0"/>
        <w:spacing w:before="156" w:beforeLines="50" w:after="156" w:afterLines="50" w:line="360" w:lineRule="auto"/>
        <w:ind w:left="0" w:leftChars="-202" w:hanging="424" w:hangingChars="201"/>
        <w:rPr>
          <w:b/>
          <w:color w:val="auto"/>
          <w:sz w:val="26"/>
          <w:szCs w:val="26"/>
        </w:rPr>
      </w:pPr>
      <w:r>
        <w:rPr>
          <w:rFonts w:hint="eastAsia"/>
          <w:b/>
          <w:bCs/>
          <w:color w:val="auto"/>
          <w:szCs w:val="21"/>
        </w:rPr>
        <w:t>1.  审核中发现的</w:t>
      </w:r>
      <w:r>
        <w:rPr>
          <w:rFonts w:hint="eastAsia"/>
          <w:b/>
          <w:bCs/>
          <w:color w:val="auto"/>
          <w:szCs w:val="21"/>
          <w:lang w:eastAsia="zh-CN"/>
        </w:rPr>
        <w:t>■</w:t>
      </w:r>
      <w:r>
        <w:rPr>
          <w:rFonts w:hint="eastAsia"/>
          <w:b/>
          <w:color w:val="auto"/>
          <w:szCs w:val="21"/>
        </w:rPr>
        <w:t xml:space="preserve">QMS(  </w:t>
      </w:r>
      <w:r>
        <w:rPr>
          <w:rFonts w:hint="eastAsia"/>
          <w:b/>
          <w:color w:val="auto"/>
          <w:szCs w:val="21"/>
          <w:lang w:val="en-US" w:eastAsia="zh-CN"/>
        </w:rPr>
        <w:t>1</w:t>
      </w:r>
      <w:r>
        <w:rPr>
          <w:rFonts w:hint="eastAsia"/>
          <w:b/>
          <w:color w:val="auto"/>
          <w:szCs w:val="21"/>
        </w:rPr>
        <w:t xml:space="preserve"> )个一般不符合，( </w:t>
      </w:r>
      <w:r>
        <w:rPr>
          <w:rFonts w:hint="eastAsia"/>
          <w:b/>
          <w:color w:val="auto"/>
          <w:szCs w:val="21"/>
          <w:lang w:val="en-US" w:eastAsia="zh-CN"/>
        </w:rPr>
        <w:t>0</w:t>
      </w:r>
      <w:r>
        <w:rPr>
          <w:rFonts w:hint="eastAsia"/>
          <w:b/>
          <w:color w:val="auto"/>
          <w:szCs w:val="21"/>
        </w:rPr>
        <w:t xml:space="preserve"> )个严重不符合，</w:t>
      </w:r>
      <w:r>
        <w:rPr>
          <w:rFonts w:hint="eastAsia"/>
          <w:b/>
          <w:color w:val="auto"/>
          <w:szCs w:val="21"/>
          <w:lang w:eastAsia="zh-CN"/>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rPr>
      </w:pPr>
      <w:r>
        <w:rPr>
          <w:rFonts w:hint="eastAsia"/>
          <w:b/>
          <w:bCs/>
          <w:color w:val="auto"/>
          <w:szCs w:val="21"/>
        </w:rPr>
        <w:t>审核中发现的</w:t>
      </w:r>
      <w:r>
        <w:rPr>
          <w:rFonts w:hint="eastAsia"/>
          <w:b/>
          <w:color w:val="auto"/>
          <w:spacing w:val="-10"/>
          <w:szCs w:val="21"/>
          <w:lang w:eastAsia="zh-CN"/>
        </w:rPr>
        <w:t>■</w:t>
      </w:r>
      <w:r>
        <w:rPr>
          <w:rFonts w:hint="eastAsia"/>
          <w:b/>
          <w:color w:val="auto"/>
          <w:szCs w:val="21"/>
        </w:rPr>
        <w:t xml:space="preserve">EMS( </w:t>
      </w:r>
      <w:r>
        <w:rPr>
          <w:rFonts w:hint="eastAsia"/>
          <w:b/>
          <w:color w:val="auto"/>
          <w:szCs w:val="21"/>
          <w:lang w:val="en-US" w:eastAsia="zh-CN"/>
        </w:rPr>
        <w:t>1</w:t>
      </w:r>
      <w:r>
        <w:rPr>
          <w:rFonts w:hint="eastAsia"/>
          <w:b/>
          <w:color w:val="auto"/>
          <w:szCs w:val="21"/>
        </w:rPr>
        <w:t xml:space="preserve">  )个一般不符合，( </w:t>
      </w:r>
      <w:r>
        <w:rPr>
          <w:rFonts w:hint="eastAsia"/>
          <w:b/>
          <w:color w:val="auto"/>
          <w:szCs w:val="21"/>
          <w:lang w:val="en-US" w:eastAsia="zh-CN"/>
        </w:rPr>
        <w:t>0</w:t>
      </w:r>
      <w:r>
        <w:rPr>
          <w:rFonts w:hint="eastAsia"/>
          <w:b/>
          <w:color w:val="auto"/>
          <w:szCs w:val="21"/>
        </w:rPr>
        <w:t xml:space="preserve"> )个严重不符合，</w:t>
      </w:r>
      <w:r>
        <w:rPr>
          <w:rFonts w:hint="eastAsia"/>
          <w:b/>
          <w:color w:val="auto"/>
          <w:szCs w:val="21"/>
          <w:lang w:eastAsia="zh-CN"/>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rPr>
      </w:pPr>
      <w:r>
        <w:rPr>
          <w:rFonts w:hint="eastAsia"/>
          <w:b/>
          <w:bCs/>
          <w:color w:val="auto"/>
          <w:szCs w:val="21"/>
        </w:rPr>
        <w:t>审核中发现的</w:t>
      </w:r>
      <w:r>
        <w:rPr>
          <w:rFonts w:hint="eastAsia"/>
          <w:b/>
          <w:bCs/>
          <w:color w:val="auto"/>
          <w:szCs w:val="21"/>
          <w:lang w:eastAsia="zh-CN"/>
        </w:rPr>
        <w:t>■</w:t>
      </w:r>
      <w:r>
        <w:rPr>
          <w:rFonts w:hint="eastAsia"/>
          <w:b/>
          <w:color w:val="auto"/>
          <w:szCs w:val="21"/>
        </w:rPr>
        <w:t xml:space="preserve">OHSMS(  </w:t>
      </w:r>
      <w:r>
        <w:rPr>
          <w:rFonts w:hint="eastAsia"/>
          <w:b/>
          <w:color w:val="auto"/>
          <w:szCs w:val="21"/>
          <w:lang w:val="en-US" w:eastAsia="zh-CN"/>
        </w:rPr>
        <w:t>1</w:t>
      </w:r>
      <w:r>
        <w:rPr>
          <w:rFonts w:hint="eastAsia"/>
          <w:b/>
          <w:color w:val="auto"/>
          <w:szCs w:val="21"/>
        </w:rPr>
        <w:t xml:space="preserve"> )个一般不符合，( </w:t>
      </w:r>
      <w:r>
        <w:rPr>
          <w:rFonts w:hint="eastAsia"/>
          <w:b/>
          <w:color w:val="auto"/>
          <w:szCs w:val="21"/>
          <w:lang w:val="en-US" w:eastAsia="zh-CN"/>
        </w:rPr>
        <w:t>0</w:t>
      </w:r>
      <w:r>
        <w:rPr>
          <w:rFonts w:hint="eastAsia"/>
          <w:b/>
          <w:color w:val="auto"/>
          <w:szCs w:val="21"/>
        </w:rPr>
        <w:t xml:space="preserve"> )个严重不符合，</w:t>
      </w:r>
      <w:r>
        <w:rPr>
          <w:rFonts w:hint="eastAsia"/>
          <w:b/>
          <w:color w:val="auto"/>
          <w:szCs w:val="21"/>
          <w:lang w:eastAsia="zh-CN"/>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u w:val="single"/>
        </w:rPr>
      </w:pPr>
      <w:r>
        <w:rPr>
          <w:rFonts w:hint="eastAsia"/>
          <w:b/>
          <w:color w:val="auto"/>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bookmarkStart w:id="22" w:name="_GoBack"/>
      <w:bookmarkEnd w:id="22"/>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ascii="宋体" w:hAnsi="宋体"/>
        </w:rPr>
        <w:drawing>
          <wp:anchor distT="0" distB="0" distL="114300" distR="114300" simplePos="0" relativeHeight="251696128" behindDoc="0" locked="0" layoutInCell="1" allowOverlap="1">
            <wp:simplePos x="0" y="0"/>
            <wp:positionH relativeFrom="column">
              <wp:posOffset>771525</wp:posOffset>
            </wp:positionH>
            <wp:positionV relativeFrom="paragraph">
              <wp:posOffset>163195</wp:posOffset>
            </wp:positionV>
            <wp:extent cx="333375" cy="294005"/>
            <wp:effectExtent l="0" t="0" r="1905" b="10795"/>
            <wp:wrapNone/>
            <wp:docPr id="6" name="图片 6"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19-09-04 21.08.47.jpg"/>
                    <pic:cNvPicPr>
                      <a:picLocks noChangeAspect="1"/>
                    </pic:cNvPicPr>
                  </pic:nvPicPr>
                  <pic:blipFill>
                    <a:blip r:embed="rId6"/>
                    <a:stretch>
                      <a:fillRect/>
                    </a:stretch>
                  </pic:blipFill>
                  <pic:spPr>
                    <a:xfrm>
                      <a:off x="0" y="0"/>
                      <a:ext cx="333375" cy="294005"/>
                    </a:xfrm>
                    <a:prstGeom prst="rect">
                      <a:avLst/>
                    </a:prstGeom>
                    <a:noFill/>
                    <a:ln>
                      <a:noFill/>
                    </a:ln>
                  </pic:spPr>
                </pic:pic>
              </a:graphicData>
            </a:graphic>
          </wp:anchor>
        </w:drawing>
      </w: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0C3691"/>
    <w:rsid w:val="277936F7"/>
    <w:rsid w:val="2C696AC2"/>
    <w:rsid w:val="3CE77E1C"/>
    <w:rsid w:val="6C221E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rPr>
      <w:color w:val="0000FF"/>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8">
    <w:name w:val="表格文字"/>
    <w:basedOn w:val="1"/>
    <w:qFormat/>
    <w:uiPriority w:val="0"/>
    <w:pPr>
      <w:spacing w:before="25" w:after="25"/>
    </w:pPr>
    <w:rPr>
      <w:bCs/>
      <w:spacing w:val="10"/>
    </w:rPr>
  </w:style>
  <w:style w:type="character" w:customStyle="1" w:styleId="19">
    <w:name w:val="占位符文本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2021-01-06T05:11:46Z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