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0744-2020-QEO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重庆每文城市综合服务有限公司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Q:35.16.03</w:t>
            </w:r>
          </w:p>
          <w:p>
            <w:pPr>
              <w:spacing w:line="240" w:lineRule="exact"/>
              <w:jc w:val="center"/>
              <w:rPr>
                <w:b/>
                <w:color w:val="000000"/>
                <w:sz w:val="20"/>
                <w:szCs w:val="20"/>
              </w:rPr>
            </w:pPr>
            <w:r>
              <w:rPr>
                <w:b/>
                <w:color w:val="000000"/>
                <w:sz w:val="20"/>
                <w:szCs w:val="20"/>
              </w:rPr>
              <w:t>E:35.16.03</w:t>
            </w:r>
          </w:p>
          <w:p>
            <w:pPr>
              <w:spacing w:line="240" w:lineRule="exact"/>
              <w:jc w:val="center"/>
              <w:rPr>
                <w:b/>
                <w:color w:val="000000"/>
                <w:sz w:val="20"/>
                <w:szCs w:val="20"/>
              </w:rPr>
            </w:pPr>
            <w:r>
              <w:rPr>
                <w:b/>
                <w:color w:val="000000"/>
                <w:sz w:val="20"/>
                <w:szCs w:val="20"/>
              </w:rP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重庆每文城市综合服务有限公司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重庆市九龙坡区杨家坪前进支路1号19-14(原19-9)</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重庆市渝北郑家院子中渝香奈公馆2-37-5</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余澜博</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023-67141219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刘江峰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刘江峰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Q：许可范围内道路清扫</w:t>
            </w:r>
          </w:p>
          <w:p>
            <w:pPr>
              <w:spacing w:line="400" w:lineRule="exact"/>
              <w:rPr>
                <w:rFonts w:ascii="宋体" w:hAnsi="宋体"/>
                <w:b/>
                <w:color w:val="000000"/>
                <w:sz w:val="20"/>
                <w:szCs w:val="20"/>
              </w:rPr>
            </w:pPr>
            <w:r>
              <w:rPr>
                <w:rFonts w:ascii="宋体" w:hAnsi="宋体"/>
                <w:b/>
                <w:color w:val="000000"/>
                <w:sz w:val="20"/>
                <w:szCs w:val="20"/>
              </w:rPr>
              <w:t>E：许可范围内道路清扫所涉及场所的相关环境管理活动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O：许可范围内道路清扫所涉及场所的相关职业健康安全管理活动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Q：35.16.03</w:t>
            </w:r>
          </w:p>
          <w:p>
            <w:pPr>
              <w:spacing w:line="280" w:lineRule="exact"/>
              <w:rPr>
                <w:rFonts w:ascii="宋体"/>
                <w:b/>
                <w:color w:val="000000"/>
                <w:sz w:val="20"/>
                <w:szCs w:val="20"/>
              </w:rPr>
            </w:pPr>
            <w:r>
              <w:rPr>
                <w:rFonts w:ascii="宋体"/>
                <w:b/>
                <w:color w:val="000000"/>
                <w:sz w:val="20"/>
                <w:szCs w:val="20"/>
              </w:rPr>
              <w:t>E：35.16.03</w:t>
            </w:r>
          </w:p>
          <w:p>
            <w:pPr>
              <w:spacing w:line="280" w:lineRule="exact"/>
              <w:rPr>
                <w:rFonts w:ascii="宋体"/>
                <w:b/>
                <w:color w:val="000000"/>
                <w:sz w:val="20"/>
                <w:szCs w:val="20"/>
              </w:rPr>
            </w:pPr>
            <w:r>
              <w:rPr>
                <w:rFonts w:ascii="宋体"/>
                <w:b/>
                <w:color w:val="000000"/>
                <w:sz w:val="20"/>
                <w:szCs w:val="20"/>
              </w:rPr>
              <w:t>O：35.16.03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835" w:type="dxa"/>
            <w:vAlign w:val="center"/>
          </w:tcPr>
          <w:p>
            <w:pPr>
              <w:spacing w:line="280" w:lineRule="exact"/>
              <w:jc w:val="center"/>
              <w:rPr>
                <w:rFonts w:hint="eastAsia"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体系覆盖区域</w:t>
            </w:r>
          </w:p>
        </w:tc>
        <w:tc>
          <w:tcPr>
            <w:tcW w:w="7492" w:type="dxa"/>
            <w:gridSpan w:val="5"/>
            <w:vAlign w:val="center"/>
          </w:tcPr>
          <w:p>
            <w:pPr>
              <w:pStyle w:val="4"/>
              <w:pBdr>
                <w:bottom w:val="none" w:color="auto" w:sz="0" w:space="0"/>
              </w:pBdr>
              <w:tabs>
                <w:tab w:val="right" w:pos="8640"/>
                <w:tab w:val="clear" w:pos="8306"/>
              </w:tabs>
              <w:bidi w:val="0"/>
              <w:spacing w:line="300" w:lineRule="exact"/>
              <w:ind w:right="-902"/>
              <w:jc w:val="both"/>
              <w:rPr>
                <w:rFonts w:hint="eastAsia"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总部以外分公司(分场所)名称、地址（可附多场所清单）见多场所申报清单</w:t>
            </w:r>
          </w:p>
          <w:p>
            <w:pPr>
              <w:spacing w:line="280" w:lineRule="exact"/>
              <w:rPr>
                <w:rFonts w:hint="eastAsia" w:ascii="宋体" w:hAnsi="宋体" w:eastAsia="宋体" w:cs="Times New Roman"/>
                <w:b/>
                <w:color w:val="000000"/>
                <w:kern w:val="2"/>
                <w:sz w:val="20"/>
                <w:szCs w:val="20"/>
                <w:lang w:val="en-US" w:eastAsia="zh-CN" w:bidi="ar-SA"/>
              </w:rPr>
            </w:pPr>
          </w:p>
          <w:p>
            <w:pPr>
              <w:spacing w:line="280" w:lineRule="exact"/>
              <w:rPr>
                <w:rFonts w:hint="eastAsia"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所有项目部(临时场所)名称、地址(可附项目清单)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管理层、行政部、市场拓展部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3</w:t>
            </w:r>
            <w:r>
              <w:rPr>
                <w:rFonts w:hint="eastAsia" w:ascii="宋体" w:hAnsi="宋体"/>
                <w:color w:val="000000" w:themeColor="text1"/>
                <w:sz w:val="20"/>
                <w:szCs w:val="20"/>
              </w:rPr>
              <w:t>）删减是否合理</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合理</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许可范围内道路清扫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sz w:val="21"/>
                <w:szCs w:val="21"/>
              </w:rPr>
              <w:t>管理层、行政部、</w:t>
            </w:r>
            <w:r>
              <w:rPr>
                <w:rFonts w:hint="eastAsia"/>
                <w:sz w:val="21"/>
                <w:szCs w:val="21"/>
                <w:lang w:eastAsia="zh-CN"/>
              </w:rPr>
              <w:t>财务部</w:t>
            </w:r>
            <w:r>
              <w:rPr>
                <w:rFonts w:hint="eastAsia"/>
                <w:sz w:val="21"/>
                <w:szCs w:val="21"/>
              </w:rPr>
              <w:t xml:space="preserve"> 、</w:t>
            </w:r>
            <w:r>
              <w:rPr>
                <w:rFonts w:hint="eastAsia"/>
                <w:sz w:val="21"/>
                <w:szCs w:val="21"/>
                <w:lang w:eastAsia="zh-CN"/>
              </w:rPr>
              <w:t>市场拓展部</w:t>
            </w:r>
            <w:r>
              <w:rPr>
                <w:rFonts w:hint="eastAsia"/>
                <w:sz w:val="21"/>
                <w:szCs w:val="21"/>
              </w:rPr>
              <w:t xml:space="preserve">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 w:val="21"/>
                <w:szCs w:val="21"/>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sz w:val="21"/>
                <w:szCs w:val="21"/>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sz w:val="21"/>
                <w:szCs w:val="21"/>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重庆市渝北郑家院子中渝香奈公馆2-37-5</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themeColor="text1"/>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受审核方位于：</w:t>
            </w:r>
            <w:r>
              <w:rPr>
                <w:color w:val="000000" w:themeColor="text1"/>
              </w:rPr>
              <w:t>重庆市渝北郑家院子中渝香奈公馆2-37-5</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eastAsia="宋体" w:cs="宋体"/>
                <w:color w:val="000000" w:themeColor="text1"/>
                <w:sz w:val="20"/>
                <w:szCs w:val="20"/>
              </w:rPr>
              <w:t>■</w:t>
            </w:r>
            <w:r>
              <w:rPr>
                <w:rFonts w:hint="eastAsia" w:ascii="宋体" w:hAnsi="宋体"/>
                <w:color w:val="000000" w:themeColor="text1"/>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hAnsi="宋体"/>
                <w:color w:val="000000" w:themeColor="text1"/>
                <w:sz w:val="20"/>
                <w:szCs w:val="20"/>
              </w:rPr>
              <w:t>有种产品，规格型号种有条生产线，</w:t>
            </w:r>
          </w:p>
          <w:p>
            <w:pPr>
              <w:rPr>
                <w:rFonts w:ascii="宋体"/>
                <w:color w:val="000000" w:themeColor="text1"/>
                <w:spacing w:val="-10"/>
                <w:sz w:val="20"/>
                <w:szCs w:val="20"/>
              </w:rPr>
            </w:pPr>
            <w:r>
              <w:rPr>
                <w:rFonts w:hint="eastAsia" w:ascii="宋体" w:hAnsi="宋体"/>
                <w:color w:val="000000" w:themeColor="text1"/>
                <w:sz w:val="20"/>
                <w:szCs w:val="20"/>
              </w:rPr>
              <w:t>运作方式：</w:t>
            </w:r>
            <w:r>
              <w:rPr>
                <w:rFonts w:hint="eastAsia" w:ascii="宋体" w:hAnsi="宋体"/>
                <w:color w:val="000000" w:themeColor="text1"/>
                <w:spacing w:val="-10"/>
                <w:sz w:val="20"/>
                <w:szCs w:val="20"/>
              </w:rPr>
              <w:t>□</w:t>
            </w:r>
            <w:r>
              <w:rPr>
                <w:rFonts w:hint="eastAsia" w:ascii="宋体" w:hAnsi="宋体"/>
                <w:color w:val="000000" w:themeColor="text1"/>
                <w:sz w:val="20"/>
                <w:szCs w:val="20"/>
              </w:rPr>
              <w:t>白班生产</w:t>
            </w:r>
            <w:r>
              <w:rPr>
                <w:rFonts w:hint="eastAsia" w:ascii="宋体" w:hAnsi="宋体"/>
                <w:color w:val="000000" w:themeColor="text1"/>
                <w:spacing w:val="-10"/>
                <w:sz w:val="20"/>
                <w:szCs w:val="20"/>
              </w:rPr>
              <w:t>□</w:t>
            </w:r>
            <w:r>
              <w:rPr>
                <w:rFonts w:hint="eastAsia" w:ascii="宋体" w:hAnsi="宋体"/>
                <w:color w:val="000000" w:themeColor="text1"/>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hAnsi="宋体"/>
                <w:color w:val="000000" w:themeColor="text1"/>
                <w:szCs w:val="21"/>
                <w:lang w:val="en-US" w:eastAsia="zh-CN"/>
              </w:rPr>
              <w:t>城市生活垃圾经营性清扫、收集服务许可证</w:t>
            </w:r>
            <w:r>
              <w:rPr>
                <w:rFonts w:hint="eastAsia"/>
                <w:color w:val="000000"/>
                <w:szCs w:val="21"/>
                <w:lang w:val="en-US" w:eastAsia="zh-CN"/>
              </w:rPr>
              <w:t>渝环（证书编号No17067）</w:t>
            </w:r>
            <w:r>
              <w:rPr>
                <w:rFonts w:hint="eastAsia" w:ascii="宋体" w:hAnsi="宋体"/>
                <w:color w:val="000000" w:themeColor="text1"/>
                <w:szCs w:val="21"/>
                <w:lang w:val="en-US" w:eastAsia="zh-CN"/>
              </w:rPr>
              <w:t>；城市生活垃圾经营性运输服务许可证（证书编号199）；</w:t>
            </w:r>
            <w:r>
              <w:rPr>
                <w:rFonts w:hint="eastAsia" w:ascii="宋体" w:hAnsi="宋体"/>
                <w:color w:val="000000" w:themeColor="text1"/>
                <w:szCs w:val="21"/>
                <w:highlight w:val="none"/>
                <w:lang w:val="en-US" w:eastAsia="zh-CN"/>
              </w:rPr>
              <w:t>重庆市环境卫生经营服务企业等级证书（B级）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szCs w:val="21"/>
              </w:rPr>
              <w:t>DB31/T 524-2011道路和公共广场及附属公共设施保洁质量和服</w:t>
            </w:r>
            <w:r>
              <w:rPr>
                <w:rFonts w:hint="eastAsia" w:ascii="宋体" w:hAnsi="宋体"/>
                <w:szCs w:val="21"/>
                <w:highlight w:val="none"/>
              </w:rPr>
              <w:t>务要求、DB50/T 337-2009城市环境卫生公共设施运行维护技术规程等及客户合同要求</w:t>
            </w:r>
            <w:r>
              <w:rPr>
                <w:rFonts w:hint="eastAsia" w:ascii="宋体" w:hAnsi="宋体" w:cs="宋体"/>
                <w:kern w:val="15"/>
                <w:szCs w:val="21"/>
                <w:highlight w:val="none"/>
                <w:lang w:eastAsia="zh-CN"/>
              </w:rPr>
              <w:t>。</w:t>
            </w:r>
            <w:r>
              <w:rPr>
                <w:rFonts w:hint="eastAsia" w:ascii="宋体" w:hAnsi="宋体"/>
                <w:color w:val="000000"/>
                <w:spacing w:val="-10"/>
                <w:sz w:val="20"/>
                <w:szCs w:val="20"/>
                <w:highlight w:val="none"/>
              </w:rPr>
              <w:t>■</w:t>
            </w:r>
            <w:r>
              <w:rPr>
                <w:rFonts w:hint="eastAsia" w:ascii="宋体" w:hAnsi="宋体"/>
                <w:color w:val="000000"/>
                <w:spacing w:val="-10"/>
                <w:szCs w:val="21"/>
                <w:highlight w:val="none"/>
              </w:rPr>
              <w:t>合同</w:t>
            </w:r>
            <w:r>
              <w:rPr>
                <w:rFonts w:hint="eastAsia" w:ascii="宋体" w:hAnsi="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是否提供近期环境监测报告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color w:val="000000" w:themeColor="text1"/>
                <w:sz w:val="20"/>
                <w:szCs w:val="20"/>
              </w:rPr>
            </w:pPr>
            <w:r>
              <w:rPr>
                <w:rFonts w:hint="eastAsia" w:ascii="宋体"/>
                <w:color w:val="000000" w:themeColor="text1"/>
                <w:sz w:val="20"/>
                <w:szCs w:val="20"/>
              </w:rPr>
              <w:t>环境执行标准：</w:t>
            </w:r>
            <w:r>
              <w:rPr>
                <w:rFonts w:hint="eastAsia" w:ascii="宋体" w:hAnsi="宋体" w:cs="宋体"/>
                <w:color w:val="000000" w:themeColor="text1"/>
                <w:kern w:val="0"/>
                <w:szCs w:val="21"/>
              </w:rPr>
              <w:t>《污水排入城镇下水道水质标准》</w:t>
            </w:r>
            <w:r>
              <w:rPr>
                <w:color w:val="000000" w:themeColor="text1"/>
                <w:kern w:val="0"/>
                <w:szCs w:val="21"/>
              </w:rPr>
              <w:t>(GB</w:t>
            </w:r>
            <w:r>
              <w:rPr>
                <w:rFonts w:hint="eastAsia"/>
                <w:color w:val="000000" w:themeColor="text1"/>
                <w:kern w:val="0"/>
                <w:szCs w:val="21"/>
              </w:rPr>
              <w:t>/T31962-2015</w:t>
            </w:r>
            <w:r>
              <w:rPr>
                <w:color w:val="000000" w:themeColor="text1"/>
                <w:kern w:val="0"/>
                <w:szCs w:val="21"/>
              </w:rPr>
              <w:t>)</w:t>
            </w:r>
            <w:r>
              <w:rPr>
                <w:rFonts w:hint="eastAsia" w:ascii="宋体" w:hAnsi="宋体" w:cs="宋体"/>
                <w:color w:val="000000" w:themeColor="text1"/>
                <w:kern w:val="0"/>
                <w:szCs w:val="21"/>
              </w:rPr>
              <w:t>表1中B级标准</w:t>
            </w:r>
            <w:r>
              <w:rPr>
                <w:rFonts w:hint="eastAsia" w:ascii="宋体" w:hAnsi="宋体"/>
                <w:color w:val="000000" w:themeColor="text1"/>
                <w:szCs w:val="21"/>
              </w:rPr>
              <w:t>；大气污染物综合排放标准（</w:t>
            </w:r>
            <w:r>
              <w:rPr>
                <w:color w:val="000000" w:themeColor="text1"/>
                <w:kern w:val="0"/>
                <w:szCs w:val="21"/>
              </w:rPr>
              <w:t xml:space="preserve">GB16297-1996 </w:t>
            </w:r>
            <w:r>
              <w:rPr>
                <w:rFonts w:hint="eastAsia"/>
                <w:color w:val="000000" w:themeColor="text1"/>
                <w:kern w:val="0"/>
                <w:szCs w:val="21"/>
              </w:rPr>
              <w:t>）</w:t>
            </w:r>
            <w:r>
              <w:rPr>
                <w:rFonts w:hint="eastAsia" w:ascii="宋体" w:hAnsi="宋体" w:cs="宋体"/>
                <w:color w:val="000000" w:themeColor="text1"/>
                <w:kern w:val="0"/>
                <w:szCs w:val="21"/>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执行标准：中华人民共和国安全消防法、中华人民共和国劳动合同法、中华人民共和国安全生产法等。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道路清扫服务流程图：</w:t>
            </w:r>
          </w:p>
          <w:p>
            <w:pPr>
              <w:rPr>
                <w:rFonts w:ascii="宋体"/>
                <w:color w:val="000000"/>
                <w:sz w:val="20"/>
                <w:szCs w:val="20"/>
                <w:highlight w:val="none"/>
              </w:rPr>
            </w:pPr>
            <w:r>
              <w:rPr>
                <w:rFonts w:hint="eastAsia" w:ascii="Times New Roman" w:hAnsi="Times New Roman" w:eastAsia="宋体" w:cs="Times New Roman"/>
                <w:szCs w:val="22"/>
                <w:highlight w:val="none"/>
              </w:rPr>
              <w:t>客户需求→签订合同→日常清扫→垃圾清运→检查→整改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关键过程有：</w:t>
            </w:r>
            <w:r>
              <w:rPr>
                <w:rFonts w:hint="eastAsia" w:ascii="Times New Roman" w:hAnsi="Times New Roman" w:eastAsia="宋体" w:cs="Times New Roman"/>
                <w:szCs w:val="22"/>
                <w:highlight w:val="none"/>
              </w:rPr>
              <w:t>清扫过程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s="宋体"/>
                <w:szCs w:val="21"/>
              </w:rPr>
              <w:t>服务提供控制程序</w:t>
            </w:r>
            <w:r>
              <w:rPr>
                <w:rFonts w:hint="eastAsia" w:ascii="宋体" w:hAnsi="宋体"/>
                <w:color w:val="000000"/>
                <w:sz w:val="20"/>
                <w:szCs w:val="20"/>
              </w:rPr>
              <w:t>、</w:t>
            </w:r>
            <w:r>
              <w:rPr>
                <w:rFonts w:hint="eastAsia" w:ascii="宋体" w:hAnsi="宋体" w:cs="宋体"/>
                <w:szCs w:val="21"/>
              </w:rPr>
              <w:t>保洁服务控制程序</w:t>
            </w:r>
            <w:r>
              <w:rPr>
                <w:rFonts w:hint="eastAsia" w:ascii="宋体" w:hAnsi="宋体"/>
                <w:color w:val="000000"/>
                <w:sz w:val="20"/>
                <w:szCs w:val="20"/>
              </w:rPr>
              <w:t>、</w:t>
            </w:r>
            <w:r>
              <w:rPr>
                <w:rFonts w:hint="eastAsia" w:ascii="宋体" w:hAnsi="宋体" w:cs="宋体"/>
                <w:szCs w:val="21"/>
              </w:rPr>
              <w:t>绿化服务控制程序</w:t>
            </w:r>
            <w:r>
              <w:rPr>
                <w:rFonts w:hint="eastAsia" w:ascii="宋体" w:hAnsi="宋体" w:cs="宋体"/>
                <w:szCs w:val="21"/>
                <w:lang w:eastAsia="zh-CN"/>
              </w:rPr>
              <w:t>、</w:t>
            </w:r>
            <w:r>
              <w:rPr>
                <w:rFonts w:hint="eastAsia" w:ascii="宋体" w:hAnsi="宋体" w:cs="宋体"/>
                <w:szCs w:val="21"/>
              </w:rPr>
              <w:t>过程和服务的绩效监视和测量控制程序</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需要确认过程：</w:t>
            </w:r>
            <w:r>
              <w:rPr>
                <w:rFonts w:hint="eastAsia" w:ascii="Times New Roman" w:hAnsi="Times New Roman" w:eastAsia="宋体" w:cs="Times New Roman"/>
                <w:szCs w:val="22"/>
                <w:highlight w:val="none"/>
              </w:rPr>
              <w:t>清扫过程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none"/>
              </w:rPr>
              <w:t>办公设备（电脑、打印机、复印机等）、垃圾清运车、</w:t>
            </w:r>
            <w:r>
              <w:rPr>
                <w:rFonts w:hint="eastAsia" w:ascii="宋体" w:hAnsi="宋体" w:cs="宋体"/>
                <w:szCs w:val="21"/>
                <w:highlight w:val="none"/>
                <w:lang w:val="en-US" w:eastAsia="zh-CN"/>
              </w:rPr>
              <w:t>洒</w:t>
            </w:r>
            <w:r>
              <w:rPr>
                <w:rFonts w:hint="eastAsia" w:ascii="宋体" w:hAnsi="宋体" w:cs="宋体"/>
                <w:szCs w:val="21"/>
                <w:highlight w:val="none"/>
              </w:rPr>
              <w:t>水车（租赁，提供租赁合同见附件）、方铲、高压水枪、高压清洗机架子、扫把等设备</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none"/>
              </w:rPr>
              <w:t>：</w:t>
            </w:r>
            <w:r>
              <w:rPr>
                <w:rFonts w:hint="eastAsia" w:ascii="宋体" w:hAnsi="宋体"/>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pStyle w:val="16"/>
              <w:tabs>
                <w:tab w:val="center" w:pos="3169"/>
              </w:tabs>
              <w:spacing w:line="400" w:lineRule="exact"/>
              <w:ind w:firstLine="0" w:firstLineChars="0"/>
              <w:jc w:val="left"/>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w:t>
            </w:r>
            <w:r>
              <w:rPr>
                <w:rFonts w:hint="eastAsia" w:ascii="宋体"/>
                <w:color w:val="000000"/>
                <w:sz w:val="20"/>
                <w:szCs w:val="20"/>
                <w:highlight w:val="none"/>
              </w:rPr>
              <w:t>有：</w:t>
            </w:r>
            <w:r>
              <w:rPr>
                <w:rFonts w:hint="eastAsia" w:ascii="宋体" w:hAnsi="Times New Roman" w:cs="Times New Roman"/>
                <w:b w:val="0"/>
                <w:bCs w:val="0"/>
                <w:color w:val="000000"/>
                <w:sz w:val="20"/>
                <w:szCs w:val="20"/>
              </w:rPr>
              <w:t>潜在火灾、固废的排放、粉尘的排放、废水的排放。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hAnsi="Times New Roman" w:eastAsia="宋体" w:cs="Times New Roman"/>
                <w:color w:val="000000"/>
                <w:sz w:val="20"/>
                <w:szCs w:val="20"/>
              </w:rPr>
              <w:t>：有（1）环境因素的识别与评价控制程序；（2）服务提供控制程序。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bookmarkStart w:id="25" w:name="_GoBack" w:colFirst="0" w:colLast="1"/>
            <w:r>
              <w:rPr>
                <w:rFonts w:hint="eastAsia" w:ascii="宋体"/>
                <w:color w:val="000000"/>
                <w:sz w:val="20"/>
                <w:szCs w:val="20"/>
              </w:rPr>
              <w:t>是否识别了潜在的紧急情况■是□否，识别是否充分■充分□需完善</w:t>
            </w:r>
          </w:p>
        </w:tc>
      </w:tr>
      <w:tr>
        <w:tblPrEx>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应急预案有：火灾事故应急救援预案、触电事故应急救援预案、中暑事故应急救援预案等</w:t>
            </w:r>
          </w:p>
        </w:tc>
      </w:tr>
      <w:bookmarkEnd w:id="25"/>
      <w:tr>
        <w:tblPrEx>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479" w:type="dxa"/>
            <w:gridSpan w:val="2"/>
            <w:vAlign w:val="top"/>
          </w:tcPr>
          <w:p>
            <w:pPr>
              <w:tabs>
                <w:tab w:val="left" w:pos="1080"/>
              </w:tabs>
              <w:spacing w:line="400" w:lineRule="exact"/>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w:t>
            </w:r>
            <w:r>
              <w:rPr>
                <w:rFonts w:hint="eastAsia" w:ascii="宋体" w:hAnsi="Times New Roman" w:eastAsia="宋体" w:cs="Times New Roman"/>
                <w:b w:val="0"/>
                <w:bCs w:val="0"/>
                <w:color w:val="000000"/>
                <w:kern w:val="2"/>
                <w:sz w:val="20"/>
                <w:szCs w:val="20"/>
                <w:lang w:val="en-US" w:eastAsia="zh-CN" w:bidi="ar-SA"/>
              </w:rPr>
              <w:t>有：火灾、职业病 、意外伤害（中暑、触电、机械伤害）。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hAnsi="Times New Roman" w:eastAsia="宋体" w:cs="Times New Roman"/>
                <w:color w:val="000000"/>
                <w:sz w:val="20"/>
                <w:szCs w:val="20"/>
              </w:rPr>
              <w:t>危险源辨别和风险评价控制程序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hAnsi="Times New Roman" w:eastAsia="宋体" w:cs="Times New Roman"/>
                <w:color w:val="000000"/>
                <w:sz w:val="20"/>
                <w:szCs w:val="20"/>
              </w:rPr>
              <w:t>职业健康安全绩效监测控制程序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104</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7</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rPr>
              <w:t>场所1，</w:t>
            </w:r>
            <w:r>
              <w:rPr>
                <w:rFonts w:hint="eastAsia" w:ascii="宋体" w:hAnsi="宋体"/>
                <w:b/>
                <w:color w:val="000000"/>
                <w:szCs w:val="21"/>
                <w:lang w:val="en-US" w:eastAsia="zh-CN"/>
              </w:rPr>
              <w:t>4</w:t>
            </w:r>
            <w:r>
              <w:rPr>
                <w:rFonts w:hint="eastAsia" w:ascii="宋体" w:hAnsi="宋体"/>
                <w:b/>
                <w:color w:val="000000"/>
                <w:szCs w:val="21"/>
              </w:rPr>
              <w:t>0分钟；</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1"/>
                <w:szCs w:val="21"/>
              </w:rPr>
            </w:pPr>
            <w:r>
              <w:rPr>
                <w:rFonts w:hint="eastAsia" w:ascii="宋体" w:hAnsi="宋体"/>
                <w:b/>
                <w:color w:val="000000"/>
                <w:sz w:val="20"/>
                <w:szCs w:val="20"/>
              </w:rPr>
              <w:t>重点审核部门：</w:t>
            </w:r>
            <w:r>
              <w:rPr>
                <w:rFonts w:hint="eastAsia"/>
                <w:sz w:val="21"/>
                <w:szCs w:val="21"/>
              </w:rPr>
              <w:t>行政部、</w:t>
            </w:r>
            <w:r>
              <w:rPr>
                <w:rFonts w:hint="eastAsia"/>
                <w:sz w:val="21"/>
                <w:szCs w:val="21"/>
                <w:lang w:eastAsia="zh-CN"/>
              </w:rPr>
              <w:t>市场拓展部</w:t>
            </w:r>
          </w:p>
          <w:p>
            <w:pPr>
              <w:spacing w:line="360" w:lineRule="auto"/>
              <w:rPr>
                <w:rFonts w:ascii="宋体"/>
                <w:b/>
                <w:color w:val="000000"/>
                <w:sz w:val="20"/>
                <w:szCs w:val="20"/>
              </w:rPr>
            </w:pPr>
            <w:r>
              <w:rPr>
                <w:rFonts w:hint="eastAsia" w:ascii="宋体" w:hAnsi="宋体"/>
                <w:b/>
                <w:color w:val="000000"/>
                <w:sz w:val="20"/>
                <w:szCs w:val="20"/>
              </w:rPr>
              <w:t>重点审核过程：服务提供控制、顾客满意；产品和服务放行、不合格产品和服务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 w:val="21"/>
                <w:szCs w:val="21"/>
              </w:rPr>
              <w:t>行政部、</w:t>
            </w:r>
            <w:r>
              <w:rPr>
                <w:rFonts w:hint="eastAsia"/>
                <w:sz w:val="21"/>
                <w:szCs w:val="21"/>
                <w:lang w:eastAsia="zh-CN"/>
              </w:rPr>
              <w:t>市场拓展部</w:t>
            </w:r>
          </w:p>
          <w:p>
            <w:pPr>
              <w:spacing w:line="260" w:lineRule="exact"/>
              <w:rPr>
                <w:rFonts w:ascii="宋体"/>
                <w:b/>
                <w:color w:val="000000"/>
                <w:sz w:val="20"/>
                <w:szCs w:val="20"/>
              </w:rPr>
            </w:pPr>
            <w:r>
              <w:rPr>
                <w:rFonts w:hint="eastAsia" w:ascii="宋体" w:hAnsi="宋体"/>
                <w:b/>
                <w:color w:val="000000"/>
                <w:sz w:val="20"/>
                <w:szCs w:val="20"/>
              </w:rPr>
              <w:t>重点审核场所：办公区域、服务场所。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 w:val="21"/>
                <w:szCs w:val="21"/>
              </w:rPr>
              <w:t>行政部、</w:t>
            </w:r>
            <w:r>
              <w:rPr>
                <w:rFonts w:hint="eastAsia"/>
                <w:sz w:val="21"/>
                <w:szCs w:val="21"/>
                <w:lang w:eastAsia="zh-CN"/>
              </w:rPr>
              <w:t>市场拓展部</w:t>
            </w:r>
          </w:p>
          <w:p>
            <w:pPr>
              <w:spacing w:line="260" w:lineRule="exact"/>
              <w:rPr>
                <w:rFonts w:ascii="宋体"/>
                <w:b/>
                <w:color w:val="000000"/>
                <w:sz w:val="20"/>
                <w:szCs w:val="20"/>
              </w:rPr>
            </w:pPr>
            <w:r>
              <w:rPr>
                <w:rFonts w:hint="eastAsia" w:ascii="宋体" w:hAnsi="宋体"/>
                <w:b/>
                <w:color w:val="000000"/>
                <w:sz w:val="20"/>
                <w:szCs w:val="20"/>
              </w:rPr>
              <w:t>重点审核场所：办公区域、服务场所。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lang w:eastAsia="zh-CN"/>
              </w:rPr>
              <w:t>内审控制程序</w:t>
            </w:r>
            <w:r>
              <w:rPr>
                <w:rFonts w:hint="eastAsia"/>
                <w:szCs w:val="21"/>
              </w:rPr>
              <w:t>》，于</w:t>
            </w:r>
            <w:r>
              <w:rPr>
                <w:rFonts w:hint="eastAsia" w:ascii="宋体" w:hAnsi="宋体" w:eastAsia="宋体" w:cs="Times New Roman"/>
                <w:szCs w:val="21"/>
              </w:rPr>
              <w:t>2020年07月1-2日</w:t>
            </w:r>
            <w:r>
              <w:rPr>
                <w:rFonts w:hint="eastAsia"/>
                <w:szCs w:val="21"/>
              </w:rPr>
              <w:t>进行了内部审核。</w:t>
            </w:r>
          </w:p>
          <w:p>
            <w:pPr>
              <w:spacing w:line="400" w:lineRule="exact"/>
              <w:rPr>
                <w:szCs w:val="21"/>
              </w:rPr>
            </w:pPr>
            <w:r>
              <w:rPr>
                <w:rFonts w:hint="eastAsia"/>
                <w:szCs w:val="21"/>
              </w:rPr>
              <w:t>内部审核组由：</w:t>
            </w:r>
            <w:r>
              <w:rPr>
                <w:rFonts w:hint="eastAsia" w:ascii="宋体" w:hAnsi="宋体" w:eastAsia="宋体" w:cs="Times New Roman"/>
                <w:szCs w:val="21"/>
              </w:rPr>
              <w:t>组长：郑敏</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组员：赵昌琼   范洪群</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宋体" w:hAnsi="宋体"/>
              </w:rPr>
              <w:t>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w:t>
      </w:r>
      <w:r>
        <w:rPr>
          <w:rFonts w:hint="eastAsia" w:ascii="宋体" w:hAnsi="宋体"/>
          <w:szCs w:val="21"/>
          <w:u w:val="single"/>
        </w:rPr>
        <w:t>许可范围内道路清扫</w:t>
      </w:r>
      <w:r>
        <w:rPr>
          <w:rFonts w:ascii="宋体" w:hAnsi="宋体"/>
          <w:b/>
          <w:color w:val="000000"/>
          <w:sz w:val="20"/>
          <w:szCs w:val="20"/>
          <w:u w:val="single"/>
        </w:rPr>
        <w:t>_</w:t>
      </w:r>
      <w:r>
        <w:rPr>
          <w:rFonts w:ascii="宋体" w:hAnsi="宋体"/>
          <w:b/>
          <w:color w:val="000000"/>
          <w:sz w:val="20"/>
          <w:szCs w:val="20"/>
        </w:rPr>
        <w:t>____</w:t>
      </w:r>
    </w:p>
    <w:p>
      <w:pPr>
        <w:ind w:firstLine="201" w:firstLineChars="100"/>
        <w:rPr>
          <w:rFonts w:hint="eastAsia" w:ascii="宋体" w:hAnsi="宋体"/>
          <w:szCs w:val="21"/>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w:t>
      </w:r>
      <w:r>
        <w:rPr>
          <w:rFonts w:hint="eastAsia" w:ascii="宋体" w:hAnsi="宋体"/>
          <w:szCs w:val="21"/>
          <w:u w:val="single"/>
        </w:rPr>
        <w:t>许可范围内道路清扫所涉及场所的相关环境管理活动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rPr>
          <w:rFonts w:hint="eastAsia" w:ascii="宋体" w:hAnsi="宋体"/>
          <w:szCs w:val="21"/>
          <w:u w:val="single"/>
        </w:rPr>
        <w:t>许可范围内道路清扫所涉及场所的相关职业健康安全管理活动</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87936" behindDoc="0" locked="0" layoutInCell="1" allowOverlap="1">
            <wp:simplePos x="0" y="0"/>
            <wp:positionH relativeFrom="column">
              <wp:posOffset>1744345</wp:posOffset>
            </wp:positionH>
            <wp:positionV relativeFrom="paragraph">
              <wp:posOffset>339725</wp:posOffset>
            </wp:positionV>
            <wp:extent cx="323850" cy="335280"/>
            <wp:effectExtent l="0" t="0" r="1143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6"/>
                    <a:stretch>
                      <a:fillRect/>
                    </a:stretch>
                  </pic:blipFill>
                  <pic:spPr>
                    <a:xfrm>
                      <a:off x="0" y="0"/>
                      <a:ext cx="323850" cy="33528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hAnsi="宋体"/>
          <w:b/>
          <w:color w:val="000000"/>
        </w:rPr>
      </w:pPr>
      <w:r>
        <w:rPr>
          <w:rFonts w:hint="eastAsia"/>
          <w:b/>
          <w:sz w:val="22"/>
          <w:szCs w:val="22"/>
        </w:rPr>
        <w:drawing>
          <wp:anchor distT="0" distB="0" distL="114300" distR="114300" simplePos="0" relativeHeight="251722752" behindDoc="0" locked="0" layoutInCell="1" allowOverlap="1">
            <wp:simplePos x="0" y="0"/>
            <wp:positionH relativeFrom="column">
              <wp:posOffset>1742440</wp:posOffset>
            </wp:positionH>
            <wp:positionV relativeFrom="paragraph">
              <wp:posOffset>236855</wp:posOffset>
            </wp:positionV>
            <wp:extent cx="544830" cy="358775"/>
            <wp:effectExtent l="0" t="0" r="0" b="5080"/>
            <wp:wrapNone/>
            <wp:docPr id="5" name="图片 8" descr="微信图片_2020123111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微信图片_20201231115743"/>
                    <pic:cNvPicPr>
                      <a:picLocks noChangeAspect="1"/>
                    </pic:cNvPicPr>
                  </pic:nvPicPr>
                  <pic:blipFill>
                    <a:blip r:embed="rId7"/>
                    <a:stretch>
                      <a:fillRect/>
                    </a:stretch>
                  </pic:blipFill>
                  <pic:spPr>
                    <a:xfrm>
                      <a:off x="0" y="0"/>
                      <a:ext cx="544830" cy="358775"/>
                    </a:xfrm>
                    <a:prstGeom prst="rect">
                      <a:avLst/>
                    </a:prstGeom>
                    <a:noFill/>
                    <a:ln>
                      <a:noFill/>
                    </a:ln>
                  </pic:spPr>
                </pic:pic>
              </a:graphicData>
            </a:graphic>
          </wp:anchor>
        </w:drawing>
      </w:r>
    </w:p>
    <w:p>
      <w:pPr>
        <w:spacing w:line="400" w:lineRule="exact"/>
        <w:ind w:firstLine="840" w:firstLineChars="400"/>
        <w:rPr>
          <w:rFonts w:ascii="宋体"/>
          <w:b/>
          <w:color w:val="000000"/>
        </w:rPr>
      </w:pPr>
      <w:r>
        <w:rPr>
          <w:rFonts w:hint="eastAsia"/>
        </w:rPr>
        <w:drawing>
          <wp:anchor distT="0" distB="0" distL="114300" distR="114300" simplePos="0" relativeHeight="251699200" behindDoc="0" locked="0" layoutInCell="1" allowOverlap="1">
            <wp:simplePos x="0" y="0"/>
            <wp:positionH relativeFrom="column">
              <wp:posOffset>2850515</wp:posOffset>
            </wp:positionH>
            <wp:positionV relativeFrom="paragraph">
              <wp:posOffset>79375</wp:posOffset>
            </wp:positionV>
            <wp:extent cx="475615" cy="246380"/>
            <wp:effectExtent l="0" t="0" r="12065" b="12700"/>
            <wp:wrapNone/>
            <wp:docPr id="9"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87ac17c702f787ebcb7b5ad453f94b0"/>
                    <pic:cNvPicPr>
                      <a:picLocks noChangeAspect="1"/>
                    </pic:cNvPicPr>
                  </pic:nvPicPr>
                  <pic:blipFill>
                    <a:blip r:embed="rId8"/>
                    <a:stretch>
                      <a:fillRect/>
                    </a:stretch>
                  </pic:blipFill>
                  <pic:spPr>
                    <a:xfrm>
                      <a:off x="0" y="0"/>
                      <a:ext cx="475615" cy="246380"/>
                    </a:xfrm>
                    <a:prstGeom prst="rect">
                      <a:avLst/>
                    </a:prstGeom>
                    <a:noFill/>
                    <a:ln>
                      <a:noFill/>
                    </a:ln>
                  </pic:spPr>
                </pic:pic>
              </a:graphicData>
            </a:graphic>
          </wp:anchor>
        </w:drawing>
      </w:r>
      <w:r>
        <w:rPr>
          <w:rFonts w:hint="eastAsia"/>
          <w:b/>
          <w:sz w:val="22"/>
          <w:szCs w:val="22"/>
        </w:rPr>
        <w:drawing>
          <wp:anchor distT="0" distB="0" distL="114300" distR="114300" simplePos="0" relativeHeight="251700224" behindDoc="0" locked="0" layoutInCell="1" allowOverlap="1">
            <wp:simplePos x="0" y="0"/>
            <wp:positionH relativeFrom="column">
              <wp:posOffset>3441065</wp:posOffset>
            </wp:positionH>
            <wp:positionV relativeFrom="paragraph">
              <wp:posOffset>1270</wp:posOffset>
            </wp:positionV>
            <wp:extent cx="400050" cy="303530"/>
            <wp:effectExtent l="0" t="0" r="11430" b="1270"/>
            <wp:wrapNone/>
            <wp:docPr id="6"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签名.jpg"/>
                    <pic:cNvPicPr>
                      <a:picLocks noChangeAspect="1"/>
                    </pic:cNvPicPr>
                  </pic:nvPicPr>
                  <pic:blipFill>
                    <a:blip r:embed="rId9"/>
                    <a:stretch>
                      <a:fillRect/>
                    </a:stretch>
                  </pic:blipFill>
                  <pic:spPr>
                    <a:xfrm>
                      <a:off x="0" y="0"/>
                      <a:ext cx="400050" cy="303530"/>
                    </a:xfrm>
                    <a:prstGeom prst="rect">
                      <a:avLst/>
                    </a:prstGeom>
                    <a:noFill/>
                    <a:ln>
                      <a:noFill/>
                    </a:ln>
                  </pic:spPr>
                </pic:pic>
              </a:graphicData>
            </a:graphic>
          </wp:anchor>
        </w:drawing>
      </w:r>
      <w:r>
        <w:rPr>
          <w:rFonts w:hint="eastAsia"/>
          <w:b/>
          <w:sz w:val="22"/>
          <w:szCs w:val="22"/>
        </w:rPr>
        <w:drawing>
          <wp:anchor distT="0" distB="0" distL="114300" distR="114300" simplePos="0" relativeHeight="251696128" behindDoc="0" locked="0" layoutInCell="1" allowOverlap="1">
            <wp:simplePos x="0" y="0"/>
            <wp:positionH relativeFrom="column">
              <wp:posOffset>3943350</wp:posOffset>
            </wp:positionH>
            <wp:positionV relativeFrom="paragraph">
              <wp:posOffset>34925</wp:posOffset>
            </wp:positionV>
            <wp:extent cx="475615" cy="346075"/>
            <wp:effectExtent l="0" t="0" r="12065" b="4445"/>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strator\Desktop\新文档 2020-01-09 10.59.53_副本.jpg"/>
                    <pic:cNvPicPr>
                      <a:picLocks noChangeAspect="1"/>
                    </pic:cNvPicPr>
                  </pic:nvPicPr>
                  <pic:blipFill>
                    <a:blip r:embed="rId10"/>
                    <a:stretch>
                      <a:fillRect/>
                    </a:stretch>
                  </pic:blipFill>
                  <pic:spPr>
                    <a:xfrm>
                      <a:off x="0" y="0"/>
                      <a:ext cx="475615" cy="346075"/>
                    </a:xfrm>
                    <a:prstGeom prst="rect">
                      <a:avLst/>
                    </a:prstGeom>
                    <a:noFill/>
                    <a:ln>
                      <a:noFill/>
                    </a:ln>
                  </pic:spPr>
                </pic:pic>
              </a:graphicData>
            </a:graphic>
          </wp:anchor>
        </w:drawing>
      </w:r>
      <w:r>
        <w:rPr>
          <w:sz w:val="22"/>
          <w:szCs w:val="22"/>
        </w:rPr>
        <w:drawing>
          <wp:anchor distT="0" distB="0" distL="114300" distR="114300" simplePos="0" relativeHeight="251697152" behindDoc="0" locked="0" layoutInCell="1" allowOverlap="1">
            <wp:simplePos x="0" y="0"/>
            <wp:positionH relativeFrom="column">
              <wp:posOffset>2387600</wp:posOffset>
            </wp:positionH>
            <wp:positionV relativeFrom="paragraph">
              <wp:posOffset>54610</wp:posOffset>
            </wp:positionV>
            <wp:extent cx="388620" cy="255270"/>
            <wp:effectExtent l="0" t="0" r="7620" b="3810"/>
            <wp:wrapNone/>
            <wp:docPr id="8"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d7de3ae164cf7699def4c632e53688b"/>
                    <pic:cNvPicPr>
                      <a:picLocks noChangeAspect="1"/>
                    </pic:cNvPicPr>
                  </pic:nvPicPr>
                  <pic:blipFill>
                    <a:blip r:embed="rId11"/>
                    <a:stretch>
                      <a:fillRect/>
                    </a:stretch>
                  </pic:blipFill>
                  <pic:spPr>
                    <a:xfrm>
                      <a:off x="0" y="0"/>
                      <a:ext cx="388620" cy="25527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2021年01月02日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lang w:eastAsia="zh-CN"/>
              </w:rPr>
            </w:pPr>
            <w:r>
              <w:rPr>
                <w:rFonts w:hint="eastAsia"/>
                <w:b/>
                <w:sz w:val="22"/>
                <w:szCs w:val="22"/>
              </w:rPr>
              <w:drawing>
                <wp:anchor distT="0" distB="0" distL="114300" distR="114300" simplePos="0" relativeHeight="251667456" behindDoc="0" locked="0" layoutInCell="1" allowOverlap="1">
                  <wp:simplePos x="0" y="0"/>
                  <wp:positionH relativeFrom="column">
                    <wp:posOffset>513715</wp:posOffset>
                  </wp:positionH>
                  <wp:positionV relativeFrom="paragraph">
                    <wp:posOffset>12065</wp:posOffset>
                  </wp:positionV>
                  <wp:extent cx="323850" cy="335280"/>
                  <wp:effectExtent l="0" t="0" r="11430" b="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6"/>
                          <a:stretch>
                            <a:fillRect/>
                          </a:stretch>
                        </pic:blipFill>
                        <pic:spPr>
                          <a:xfrm>
                            <a:off x="0" y="0"/>
                            <a:ext cx="323850" cy="335280"/>
                          </a:xfrm>
                          <a:prstGeom prst="rect">
                            <a:avLst/>
                          </a:prstGeom>
                          <a:noFill/>
                          <a:ln>
                            <a:noFill/>
                          </a:ln>
                        </pic:spPr>
                      </pic:pic>
                    </a:graphicData>
                  </a:graphic>
                </wp:anchor>
              </w:drawing>
            </w:r>
            <w:r>
              <w:rPr>
                <w:rFonts w:hint="eastAsia"/>
                <w:b/>
                <w:color w:val="000000"/>
                <w:sz w:val="22"/>
                <w:szCs w:val="22"/>
              </w:rPr>
              <w:t>审核员：</w:t>
            </w:r>
          </w:p>
          <w:p>
            <w:pPr>
              <w:spacing w:line="280" w:lineRule="exact"/>
              <w:rPr>
                <w:rFonts w:hint="eastAsia"/>
                <w:b/>
                <w:color w:val="000000"/>
                <w:sz w:val="22"/>
                <w:szCs w:val="22"/>
                <w:lang w:eastAsia="zh-CN"/>
              </w:rPr>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77696" behindDoc="0" locked="0" layoutInCell="1" allowOverlap="1">
                  <wp:simplePos x="0" y="0"/>
                  <wp:positionH relativeFrom="column">
                    <wp:posOffset>596265</wp:posOffset>
                  </wp:positionH>
                  <wp:positionV relativeFrom="paragraph">
                    <wp:posOffset>72390</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6"/>
                          <a:stretch>
                            <a:fillRect/>
                          </a:stretch>
                        </pic:blipFill>
                        <pic:spPr>
                          <a:xfrm>
                            <a:off x="0" y="0"/>
                            <a:ext cx="323850" cy="33528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3F0E3E"/>
    <w:rsid w:val="20D011E7"/>
    <w:rsid w:val="22495756"/>
    <w:rsid w:val="72897706"/>
    <w:rsid w:val="7E016828"/>
    <w:rsid w:val="7F465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5">
    <w:name w:val="占位符文本1"/>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2021-01-06T03:43:15Z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