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98"/>
        <w:gridCol w:w="123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四川伊索利科技有限公司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抗震支架、成品支架的工艺流程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  <w:t>放料---冷弯成型---切断---自动制孔---组装——检验——入库。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需确认过程：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组装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spacing w:line="480" w:lineRule="exact"/>
              <w:jc w:val="both"/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主要质量要求：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  <w:t>外观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质量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尺寸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关键控</w:t>
            </w:r>
            <w:r>
              <w:rPr>
                <w:rFonts w:hint="eastAsia" w:ascii="宋体" w:hAnsi="宋体"/>
                <w:spacing w:val="-8"/>
                <w:sz w:val="21"/>
                <w:szCs w:val="21"/>
                <w:lang w:eastAsia="zh-CN"/>
              </w:rPr>
              <w:t>制点：冷弯成型、冲孔、切断、组装控制等；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  <w:t>潜在火灾、固废排放、噪声排放，采取分类收集、管理方案和预案措施管理。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  <w:t>火灾、触电、意外伤害（起重伤害、物体打击、机械伤害）采取制定管理方案控制，潜在火灾采取应急预案并演练方式进行控制。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建筑机电设备抗震支架通用技术条件 CJ/T 476-2015、GB/T 700-2006 碳素结构钢 、耐火性能GB/T 9978.1-2008、200万次疲劳试验 TB/T 2074-2010 5.9、中性盐雾试验GB/T 10125-201、合同协议等。</w:t>
            </w:r>
          </w:p>
          <w:p>
            <w:pPr>
              <w:spacing w:line="400" w:lineRule="exac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材料监控和工艺以及检验过程。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u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</w:rPr>
              <w:t>型式试验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eastAsia="zh-CN"/>
              </w:rPr>
              <w:t>报告对产品外观检查、尺寸、部件荷载性能；组件荷载性；防腐性能及配套关键部件检验的验证。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90170</wp:posOffset>
            </wp:positionV>
            <wp:extent cx="702310" cy="437515"/>
            <wp:effectExtent l="0" t="0" r="13970" b="4445"/>
            <wp:wrapSquare wrapText="bothSides"/>
            <wp:docPr id="4" name="图片 4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64135</wp:posOffset>
            </wp:positionV>
            <wp:extent cx="702310" cy="437515"/>
            <wp:effectExtent l="0" t="0" r="13970" b="4445"/>
            <wp:wrapSquare wrapText="bothSides"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2021.1.9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2021.1.9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C611D6"/>
    <w:rsid w:val="73F659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2021-01-06T02:51:32Z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