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四川科度实业有限公司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Q:34.01.02,34.06.00</w:t>
            </w:r>
          </w:p>
          <w:p>
            <w:pPr>
              <w:spacing w:line="240" w:lineRule="exact"/>
              <w:jc w:val="center"/>
              <w:rPr>
                <w:b/>
                <w:color w:val="000000" w:themeColor="text1"/>
                <w:sz w:val="20"/>
                <w:szCs w:val="20"/>
              </w:rPr>
            </w:pPr>
            <w:r>
              <w:rPr>
                <w:b/>
                <w:color w:val="000000" w:themeColor="text1"/>
                <w:sz w:val="20"/>
                <w:szCs w:val="20"/>
              </w:rPr>
              <w:t>E:34.01.02,34.06.00</w:t>
            </w:r>
          </w:p>
          <w:p>
            <w:pPr>
              <w:spacing w:line="240" w:lineRule="exact"/>
              <w:jc w:val="center"/>
              <w:rPr>
                <w:b/>
                <w:color w:val="000000" w:themeColor="text1"/>
                <w:sz w:val="20"/>
                <w:szCs w:val="20"/>
              </w:rPr>
            </w:pPr>
            <w:r>
              <w:rPr>
                <w:b/>
                <w:color w:val="000000" w:themeColor="text1"/>
                <w:sz w:val="20"/>
                <w:szCs w:val="20"/>
              </w:rPr>
              <w:t>O:34.01.02,34.06.00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EMS/</w:t>
            </w:r>
            <w:r>
              <w:rPr>
                <w:rFonts w:hint="eastAsia" w:ascii="黑体" w:hAnsi="黑体" w:eastAsia="黑体" w:cs="黑体"/>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四川科度实业有限公司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四川省成都市武侯区郭家桥北街2号1幢3-4号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成都市武侯区武侯大道双楠段112号A9</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方利群</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15928510167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Q：测绘服务（地理信息系统工程（地理信息数据采集及处理）、工程测量、不动产测绘（地籍测绘、房产测绘））、土地整理服务 土地调查评估服务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E：测绘服务（地理信息系统工程（地理信息数据采集及处理）、工程测量、不动产测绘（地籍测绘、房产测绘））、土地整理服务 土地调查评估服务所涉及场所的相关环境管理活动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O：测绘服务（地理信息系统工程（地理信息数据采集及处理）、工程测量、不动产测绘（地籍测绘、房产测绘））、土地整理服务 土地调查评估服务所涉及场所的相关职业健康安全管理活动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E：34.01.02;34.06.00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O：34.01.02;34.06.00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lang w:eastAsia="zh-CN"/>
              </w:rPr>
              <w:t>技术服务</w:t>
            </w: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财务部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eastAsia="宋体"/>
                <w:b/>
                <w:color w:val="000000" w:themeColor="text1"/>
                <w:sz w:val="20"/>
                <w:szCs w:val="20"/>
                <w:lang w:eastAsia="zh-CN"/>
              </w:rPr>
              <w:t>费用管理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测绘服务（地理信息系统工程（地理信息数据采集及处理）、工程测量、不动产测绘（地籍测绘、房产测绘））、土地整理服务 土地调查评估服务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宋体"/>
                <w:b w:val="0"/>
                <w:bCs w:val="0"/>
                <w:color w:val="000000"/>
                <w:kern w:val="2"/>
                <w:sz w:val="21"/>
                <w:szCs w:val="21"/>
                <w:highlight w:val="none"/>
                <w:lang w:val="en-US" w:eastAsia="zh-CN" w:bidi="ar-SA"/>
              </w:rPr>
              <w:t>中华人民共和国合同法、中华人民共和国产品质量法、中华人民共和国消费者权益法、中华人民共和国环境保护法、中华人民共和国安全生产法、中华人民共和国环境影响评价法、中华人民共和国消防法、中华人民共和国职业病防治法、土地整治项目设计报告编制规程、土地整治重大项目可行性研究报告编制规程、市（地）级土地整治规划编制规程、生产项目土地复垦验收规程、土地整治项目规划设计规范、土地整治工程建设标准编写规程、矿山土地复垦基础信息调查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lang w:val="en-US" w:eastAsia="zh-CN"/>
              </w:rPr>
            </w:pP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numPr>
                <w:ilvl w:val="0"/>
                <w:numId w:val="0"/>
              </w:numPr>
              <w:spacing w:line="240" w:lineRule="exact"/>
              <w:rPr>
                <w:rFonts w:hint="eastAsia"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环境/</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宋体" w:hAnsi="宋体"/>
                <w:szCs w:val="21"/>
              </w:rPr>
            </w:pPr>
            <w:r>
              <w:rPr>
                <w:rFonts w:hint="eastAsia" w:ascii="宋体" w:hAnsi="宋体"/>
                <w:szCs w:val="21"/>
              </w:rPr>
              <w:t>质量方针：“精细测绘、精确测绘、精心测绘、精准评估”。</w:t>
            </w:r>
          </w:p>
          <w:p>
            <w:pPr>
              <w:rPr>
                <w:rFonts w:hint="eastAsia" w:ascii="宋体" w:hAnsi="宋体"/>
                <w:szCs w:val="21"/>
              </w:rPr>
            </w:pPr>
            <w:r>
              <w:rPr>
                <w:rFonts w:hint="eastAsia" w:ascii="宋体" w:hAnsi="宋体"/>
                <w:szCs w:val="21"/>
              </w:rPr>
              <w:t>环境方针：</w:t>
            </w:r>
            <w:r>
              <w:rPr>
                <w:rFonts w:hint="eastAsia" w:ascii="宋体" w:hAnsi="宋体"/>
                <w:szCs w:val="21"/>
                <w:lang w:eastAsia="zh-CN"/>
              </w:rPr>
              <w:t>“测绘绿山水，绝不盲开发，资源必有限，保护须无涯”</w:t>
            </w:r>
            <w:r>
              <w:rPr>
                <w:rFonts w:hint="eastAsia" w:ascii="宋体" w:hAnsi="宋体"/>
                <w:szCs w:val="21"/>
              </w:rPr>
              <w:t>。</w:t>
            </w:r>
          </w:p>
          <w:p>
            <w:pPr>
              <w:spacing w:line="240" w:lineRule="exact"/>
              <w:rPr>
                <w:b/>
                <w:color w:val="000000" w:themeColor="text1"/>
              </w:rPr>
            </w:pPr>
            <w:r>
              <w:rPr>
                <w:rFonts w:hint="eastAsia" w:ascii="宋体" w:hAnsi="宋体"/>
                <w:szCs w:val="21"/>
              </w:rPr>
              <w:t>职业健康安全管理方针：</w:t>
            </w:r>
            <w:r>
              <w:rPr>
                <w:rFonts w:hint="eastAsia" w:ascii="宋体" w:hAnsi="宋体"/>
                <w:szCs w:val="21"/>
                <w:lang w:eastAsia="zh-CN"/>
              </w:rPr>
              <w:t>“测绘有风险，出行察安危。防患于未然，户外安全归”。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spacing w:line="240" w:lineRule="exact"/>
              <w:rPr>
                <w:rFonts w:hint="eastAsia" w:eastAsia="宋体"/>
                <w:b/>
                <w:color w:val="000000" w:themeColor="text1"/>
                <w:lang w:val="en-US" w:eastAsia="zh-CN"/>
              </w:rPr>
            </w:pPr>
            <w:r>
              <w:rPr>
                <w:rFonts w:hint="eastAsia"/>
                <w:b/>
                <w:color w:val="000000" w:themeColor="text1"/>
                <w:lang w:val="en-US" w:eastAsia="zh-CN"/>
              </w:rPr>
              <w:t xml:space="preserve"> </w:t>
            </w: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技术服务</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测绘的服务过程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测绘的服务过程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   公司依据国家及行业标准进行服务，服务模式固定，不涉及新服务的开发，故GB/T19001-2016标准第8.3条款不适用；不影响为顾客提供满足法律、法规和顾客要求的服务。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eastAsia="zh-CN"/>
              </w:rPr>
              <w:t>废气的控制、</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eastAsia" w:eastAsia="宋体"/>
                <w:b/>
                <w:color w:val="000000" w:themeColor="text1"/>
                <w:sz w:val="20"/>
                <w:szCs w:val="20"/>
                <w:lang w:val="en-US" w:eastAsia="zh-CN"/>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w:t>
            </w:r>
            <w:r>
              <w:rPr>
                <w:rFonts w:hint="eastAsia" w:ascii="宋体" w:hAnsi="宋体"/>
                <w:color w:val="000000" w:themeColor="text1"/>
                <w:lang w:val="en-US" w:eastAsia="zh-CN"/>
              </w:rPr>
              <w:t>意外伤害、交通事故</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olor w:val="000000" w:themeColor="text1"/>
                <w:lang w:eastAsia="zh-CN"/>
              </w:rPr>
              <w:t>研发、销售，</w:t>
            </w:r>
            <w:r>
              <w:rPr>
                <w:rFonts w:hint="eastAsia" w:ascii="宋体" w:hAnsi="宋体"/>
                <w:color w:val="000000" w:themeColor="text1"/>
                <w:lang w:val="en-US" w:eastAsia="zh-CN"/>
              </w:rPr>
              <w:t>技术服务</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w:t>
            </w:r>
            <w:r>
              <w:rPr>
                <w:rFonts w:hint="eastAsia" w:ascii="黑体" w:hAnsi="黑体" w:eastAsia="黑体" w:cs="黑体"/>
                <w:b/>
                <w:color w:val="000000" w:themeColor="text1"/>
                <w:szCs w:val="21"/>
              </w:rPr>
              <w:t>■</w:t>
            </w:r>
            <w:r>
              <w:rPr>
                <w:rFonts w:hint="eastAsia" w:ascii="宋体" w:hAnsi="宋体"/>
                <w:b/>
                <w:color w:val="000000" w:themeColor="text1"/>
                <w:szCs w:val="21"/>
              </w:rPr>
              <w:t>环境因素</w:t>
            </w:r>
            <w:r>
              <w:rPr>
                <w:rFonts w:hint="eastAsia" w:ascii="黑体" w:hAnsi="黑体" w:eastAsia="黑体" w:cs="黑体"/>
                <w:b/>
                <w:color w:val="000000" w:themeColor="text1"/>
                <w:szCs w:val="21"/>
              </w:rPr>
              <w:t>■</w:t>
            </w:r>
            <w:r>
              <w:rPr>
                <w:rFonts w:hint="eastAsia" w:ascii="宋体" w:hAnsi="宋体"/>
                <w:b/>
                <w:color w:val="000000" w:themeColor="text1"/>
                <w:szCs w:val="21"/>
              </w:rPr>
              <w:t>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管理目标、指标的实现情况：</w:t>
            </w:r>
            <w:r>
              <w:rPr>
                <w:rFonts w:hint="eastAsia" w:ascii="宋体" w:hAnsi="宋体" w:eastAsia="宋体" w:cs="宋体"/>
                <w:color w:val="000000"/>
                <w:kern w:val="0"/>
                <w:szCs w:val="21"/>
                <w:lang w:val="en-US" w:eastAsia="zh-CN"/>
              </w:rPr>
              <w:t xml:space="preserve">                               实测：</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1、顾客投诉≤3次/年；                                            0次</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2、项目服务合格率100﹪；                                         100%</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3、满意率调查得分95分以上；                                       95分</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4、实现废弃物的分类收集、处理：废弃物的回收率达到100%；          100%</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5、安全服务事故次数为0；                                          0</w:t>
            </w:r>
          </w:p>
          <w:p>
            <w:pPr>
              <w:spacing w:line="300" w:lineRule="exac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6、火灾事故发生次数为0；                                          0</w:t>
            </w:r>
          </w:p>
          <w:p>
            <w:pPr>
              <w:spacing w:line="300" w:lineRule="exact"/>
              <w:rPr>
                <w:rFonts w:hint="default" w:ascii="宋体" w:hAnsi="宋体"/>
                <w:b/>
                <w:color w:val="000000" w:themeColor="text1"/>
                <w:lang w:val="en-US"/>
              </w:rPr>
            </w:pPr>
            <w:r>
              <w:rPr>
                <w:rFonts w:hint="eastAsia" w:ascii="宋体" w:hAnsi="宋体" w:eastAsia="宋体" w:cs="宋体"/>
                <w:color w:val="000000"/>
                <w:kern w:val="0"/>
                <w:szCs w:val="21"/>
                <w:lang w:val="en-US" w:eastAsia="zh-CN"/>
              </w:rPr>
              <w:t>7、意外事故年度不超过5起。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color w:val="auto"/>
                <w:sz w:val="21"/>
                <w:szCs w:val="21"/>
                <w:highlight w:val="none"/>
              </w:rPr>
              <w:t>办公面积</w:t>
            </w:r>
            <w:r>
              <w:rPr>
                <w:rFonts w:hint="eastAsia" w:ascii="宋体" w:hAnsi="宋体"/>
                <w:color w:val="auto"/>
                <w:sz w:val="21"/>
                <w:szCs w:val="21"/>
                <w:highlight w:val="none"/>
                <w:lang w:val="en-US" w:eastAsia="zh-CN"/>
              </w:rPr>
              <w:t>260</w:t>
            </w:r>
            <w:r>
              <w:rPr>
                <w:rFonts w:hint="eastAsia" w:ascii="宋体" w:hAnsi="宋体"/>
                <w:color w:val="auto"/>
                <w:sz w:val="21"/>
                <w:szCs w:val="21"/>
                <w:highlight w:val="none"/>
              </w:rPr>
              <w:t>平方左右，公司</w:t>
            </w:r>
            <w:r>
              <w:rPr>
                <w:rFonts w:hint="eastAsia" w:ascii="宋体" w:hAnsi="宋体"/>
                <w:color w:val="auto"/>
                <w:sz w:val="21"/>
                <w:szCs w:val="21"/>
                <w:highlight w:val="none"/>
                <w:lang w:val="en-US" w:eastAsia="zh-CN"/>
              </w:rPr>
              <w:t>技术服务主要为户外测绘，在电脑等设备上进行，不单独占用场所。</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7"/>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满足测绘服务（地理信息系统工程（地理信息数据采集及处理）、工程测量、不动产测绘（地籍测绘、房产测绘））、土地整理服务、土地调查评估服务</w:t>
            </w:r>
            <w:r>
              <w:rPr>
                <w:rFonts w:hint="eastAsia" w:ascii="宋体" w:hAnsi="宋体"/>
                <w:szCs w:val="21"/>
                <w:lang w:eastAsia="zh-CN"/>
              </w:rPr>
              <w:t>的需要</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w:t>
            </w:r>
            <w:r>
              <w:rPr>
                <w:rFonts w:hint="eastAsia" w:ascii="宋体" w:hAnsi="宋体"/>
                <w:szCs w:val="21"/>
                <w:lang w:val="en-US" w:eastAsia="zh-CN"/>
              </w:rPr>
              <w:t>测绘和</w:t>
            </w:r>
            <w:r>
              <w:rPr>
                <w:rFonts w:hint="eastAsia" w:ascii="宋体" w:hAnsi="宋体"/>
                <w:szCs w:val="21"/>
                <w:lang w:eastAsia="zh-CN"/>
              </w:rPr>
              <w:t>服务</w:t>
            </w:r>
            <w:r>
              <w:rPr>
                <w:rFonts w:hint="eastAsia" w:ascii="宋体" w:hAnsi="宋体"/>
                <w:szCs w:val="21"/>
                <w:lang w:val="en-US" w:eastAsia="zh-CN"/>
              </w:rPr>
              <w:t>的</w:t>
            </w:r>
            <w:r>
              <w:rPr>
                <w:rFonts w:hint="eastAsia" w:ascii="宋体" w:hAnsi="宋体"/>
                <w:szCs w:val="21"/>
                <w:lang w:eastAsia="zh-CN"/>
              </w:rPr>
              <w:t>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auto"/>
                <w:sz w:val="21"/>
                <w:szCs w:val="21"/>
                <w:lang w:val="en-US" w:eastAsia="zh-CN"/>
              </w:rPr>
              <w:t>公司</w:t>
            </w:r>
            <w:r>
              <w:rPr>
                <w:rFonts w:hint="eastAsia"/>
                <w:color w:val="auto"/>
              </w:rPr>
              <w:t>监视和测量</w:t>
            </w:r>
            <w:r>
              <w:rPr>
                <w:rFonts w:hint="eastAsia"/>
                <w:color w:val="auto"/>
                <w:lang w:val="en-US" w:eastAsia="zh-CN"/>
              </w:rPr>
              <w:t>设施配备有手持测距仪、GNSS接收机、全站仪、水准仪，且在有资质机构进行了年度检验，检验有效。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val="en-US" w:eastAsia="zh-CN"/>
              </w:rPr>
              <w:t>,纱布防中暑药物</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eastAsia" w:eastAsia="宋体"/>
                <w:b/>
                <w:color w:val="000000" w:themeColor="text1"/>
                <w:sz w:val="20"/>
                <w:szCs w:val="20"/>
                <w:lang w:val="en-US" w:eastAsia="zh-CN"/>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楷体_GB2312" w:eastAsia="楷体_GB2312"/>
                <w:b/>
                <w:color w:val="000000" w:themeColor="text1"/>
                <w:szCs w:val="21"/>
                <w:lang w:val="en-US" w:eastAsia="zh-CN"/>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w:t>
            </w:r>
            <w:r>
              <w:rPr>
                <w:rFonts w:hint="eastAsia" w:ascii="宋体" w:hAnsi="宋体"/>
                <w:szCs w:val="21"/>
              </w:rPr>
              <w:t>测绘的服务过程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eastAsia="zh-CN"/>
              </w:rPr>
            </w:pPr>
            <w:r>
              <w:rPr>
                <w:rFonts w:hint="eastAsia"/>
                <w:b/>
                <w:color w:val="000000" w:themeColor="text1"/>
                <w:sz w:val="20"/>
                <w:szCs w:val="20"/>
                <w:lang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color w:val="auto"/>
                <w:szCs w:val="21"/>
              </w:rPr>
              <w:t>组织重要环境因素为潜在火灾、固废排放</w:t>
            </w:r>
            <w:r>
              <w:rPr>
                <w:rFonts w:hint="eastAsia" w:asciiTheme="minorEastAsia" w:hAnsiTheme="minorEastAsia" w:eastAsiaTheme="minorEastAsia"/>
                <w:bCs/>
                <w:iCs/>
                <w:color w:val="auto"/>
                <w:szCs w:val="21"/>
                <w:lang w:eastAsia="zh-CN"/>
              </w:rPr>
              <w:t>、废气的排放</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val="en-US" w:eastAsia="zh-CN"/>
              </w:rPr>
              <w:t>合同评审，采购，测绘</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color w:val="auto"/>
                <w:szCs w:val="21"/>
                <w:lang w:eastAsia="zh-CN"/>
              </w:rPr>
              <w:t>废气的控制、</w:t>
            </w:r>
            <w:r>
              <w:rPr>
                <w:rFonts w:hint="eastAsia" w:asciiTheme="minorEastAsia" w:hAnsiTheme="minorEastAsia" w:eastAsiaTheme="minorEastAsia"/>
                <w:bCs/>
                <w:iCs/>
                <w:color w:val="auto"/>
                <w:szCs w:val="21"/>
              </w:rPr>
              <w:t>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lang w:val="en-US" w:eastAsia="zh-CN"/>
              </w:rPr>
            </w:pPr>
            <w:r>
              <w:rPr>
                <w:rFonts w:hint="eastAsia"/>
                <w:b/>
                <w:color w:val="000000" w:themeColor="text1"/>
                <w:sz w:val="20"/>
                <w:szCs w:val="20"/>
              </w:rPr>
              <w:t>OHSMS组织对不可接受风险实施控制的结果</w:t>
            </w:r>
            <w:r>
              <w:rPr>
                <w:rFonts w:hint="eastAsia"/>
                <w:b/>
                <w:color w:val="000000" w:themeColor="text1"/>
                <w:sz w:val="20"/>
                <w:szCs w:val="20"/>
                <w:lang w:val="en-US" w:eastAsia="zh-CN"/>
              </w:rPr>
              <w:t xml:space="preserve"> </w:t>
            </w:r>
          </w:p>
          <w:p>
            <w:pPr>
              <w:numPr>
                <w:ilvl w:val="0"/>
                <w:numId w:val="0"/>
              </w:numPr>
              <w:spacing w:line="240" w:lineRule="exact"/>
              <w:rPr>
                <w:rFonts w:hint="eastAsia" w:eastAsia="宋体"/>
                <w:b/>
                <w:color w:val="000000" w:themeColor="text1"/>
                <w:sz w:val="20"/>
                <w:szCs w:val="20"/>
                <w:lang w:val="en-US" w:eastAsia="zh-CN"/>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lang w:val="en-US" w:eastAsia="zh-CN"/>
              </w:rPr>
              <w:t>意外伤害、交通事故</w:t>
            </w:r>
            <w:r>
              <w:rPr>
                <w:rFonts w:hint="eastAsia" w:asciiTheme="minorEastAsia" w:hAnsiTheme="minorEastAsia" w:eastAsiaTheme="minorEastAsia"/>
                <w:bCs/>
                <w:iCs/>
                <w:color w:val="auto"/>
                <w:szCs w:val="21"/>
                <w:highlight w:val="none"/>
              </w:rPr>
              <w:t>等），与之相关的过程有</w:t>
            </w:r>
            <w:r>
              <w:rPr>
                <w:rFonts w:hint="eastAsia" w:asciiTheme="minorEastAsia" w:hAnsiTheme="minorEastAsia" w:eastAsiaTheme="minorEastAsia"/>
                <w:bCs/>
                <w:iCs/>
                <w:color w:val="auto"/>
                <w:szCs w:val="21"/>
                <w:lang w:val="en-US" w:eastAsia="zh-CN"/>
              </w:rPr>
              <w:t>合同评审，采购，测绘</w:t>
            </w:r>
            <w:r>
              <w:rPr>
                <w:rFonts w:hint="eastAsia" w:asciiTheme="minorEastAsia" w:hAnsiTheme="minorEastAsia" w:eastAsiaTheme="minorEastAsia"/>
                <w:bCs/>
                <w:iCs/>
                <w:color w:val="auto"/>
                <w:szCs w:val="21"/>
              </w:rPr>
              <w:t>过程</w:t>
            </w:r>
            <w:r>
              <w:rPr>
                <w:rFonts w:hint="eastAsia" w:asciiTheme="minorEastAsia" w:hAnsiTheme="minorEastAsia" w:eastAsiaTheme="minorEastAsia"/>
                <w:bCs/>
                <w:i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月-2020年</w:t>
            </w:r>
            <w:r>
              <w:rPr>
                <w:rFonts w:hint="eastAsia" w:ascii="宋体" w:hAnsi="宋体" w:cs="宋体"/>
                <w:color w:val="auto"/>
                <w:szCs w:val="21"/>
                <w:lang w:val="en-US" w:eastAsia="zh-CN"/>
              </w:rPr>
              <w:t>12</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eastAsia"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月实施，满意度评价9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3日-8月4日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2</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技术部Q8.7</w:t>
            </w:r>
            <w:r>
              <w:rPr>
                <w:rFonts w:hint="eastAsia" w:ascii="宋体" w:hAnsi="宋体"/>
                <w:szCs w:val="21"/>
              </w:rPr>
              <w:t>条款</w:t>
            </w:r>
            <w:r>
              <w:rPr>
                <w:rFonts w:hint="eastAsia" w:ascii="宋体" w:hAnsi="宋体"/>
                <w:szCs w:val="21"/>
                <w:lang w:eastAsia="zh-CN"/>
              </w:rPr>
              <w:t>、E/S10.2条款</w:t>
            </w:r>
            <w:r>
              <w:rPr>
                <w:rFonts w:hint="eastAsia" w:ascii="宋体" w:hAnsi="宋体"/>
                <w:szCs w:val="21"/>
              </w:rPr>
              <w:t>审核中发现不合格处理后再经评审合格，但未保留相关记录，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日由总经</w:t>
            </w:r>
            <w:r>
              <w:rPr>
                <w:rFonts w:hint="eastAsia" w:ascii="宋体" w:hAnsi="宋体"/>
                <w:sz w:val="21"/>
                <w:szCs w:val="21"/>
              </w:rPr>
              <w:t>理</w:t>
            </w:r>
            <w:r>
              <w:rPr>
                <w:rFonts w:hint="eastAsia" w:ascii="宋体" w:hAnsi="宋体"/>
                <w:sz w:val="21"/>
                <w:szCs w:val="21"/>
                <w:lang w:val="en-US" w:eastAsia="zh-CN"/>
              </w:rPr>
              <w:t>李胜</w:t>
            </w:r>
            <w:r>
              <w:rPr>
                <w:rFonts w:hint="eastAsia" w:ascii="宋体" w:hAnsi="宋体" w:cs="宋体"/>
                <w:szCs w:val="21"/>
              </w:rPr>
              <w:t>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 xml:space="preserve"> </w:t>
      </w:r>
      <w:r>
        <w:rPr>
          <w:rFonts w:hint="eastAsia"/>
          <w:b/>
          <w:color w:val="000000" w:themeColor="text1"/>
        </w:rPr>
        <w:t>项，观察项项分布在</w:t>
      </w:r>
      <w:r>
        <w:rPr>
          <w:rFonts w:hint="eastAsia"/>
          <w:b/>
          <w:color w:val="000000" w:themeColor="text1"/>
          <w:lang w:val="en-US" w:eastAsia="zh-CN"/>
        </w:rPr>
        <w:t xml:space="preserve"> </w:t>
      </w:r>
      <w:r>
        <w:rPr>
          <w:rFonts w:hint="eastAsia"/>
          <w:b/>
          <w:color w:val="000000" w:themeColor="text1"/>
        </w:rPr>
        <w:t>部门</w:t>
      </w:r>
      <w:r>
        <w:rPr>
          <w:rFonts w:hint="eastAsia"/>
          <w:b/>
          <w:color w:val="000000" w:themeColor="text1"/>
          <w:lang w:val="en-US" w:eastAsia="zh-CN"/>
        </w:rPr>
        <w:t xml:space="preserve">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lang w:eastAsia="zh-CN"/>
              </w:rPr>
              <w:t>■</w:t>
            </w:r>
            <w:r>
              <w:rPr>
                <w:rFonts w:hint="eastAsia"/>
                <w:b/>
                <w:color w:val="000000" w:themeColor="text1"/>
                <w:sz w:val="22"/>
                <w:szCs w:val="22"/>
              </w:rPr>
              <w:t>QMS</w:t>
            </w:r>
            <w:r>
              <w:rPr>
                <w:rFonts w:hint="eastAsia" w:ascii="黑体" w:hAnsi="黑体" w:eastAsia="黑体" w:cs="黑体"/>
                <w:b/>
                <w:color w:val="000000" w:themeColor="text1"/>
                <w:spacing w:val="-10"/>
                <w:szCs w:val="21"/>
              </w:rPr>
              <w:t>■</w:t>
            </w:r>
            <w:r>
              <w:rPr>
                <w:rFonts w:hint="eastAsia"/>
                <w:b/>
                <w:color w:val="000000" w:themeColor="text1"/>
                <w:sz w:val="22"/>
                <w:szCs w:val="22"/>
              </w:rPr>
              <w:t xml:space="preserve">EMS  </w:t>
            </w:r>
            <w:r>
              <w:rPr>
                <w:rFonts w:hint="eastAsia" w:ascii="黑体" w:hAnsi="黑体" w:eastAsia="黑体" w:cs="黑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测绘服务（地理信息系统工程（地理信息数据采集及处理）、工程测量、不动产测绘（地籍测绘、房产测绘））、土地整理服务 土地调查评估服务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测绘服务（地理信息系统工程（地理信息数据采集及处理）、工程测量、不动产测绘（地籍测绘、房产测绘））、土地整理服务 土地调查评估服务</w:t>
            </w:r>
            <w:r>
              <w:rPr>
                <w:rFonts w:hint="eastAsia" w:ascii="宋体" w:hAnsi="宋体"/>
                <w:szCs w:val="21"/>
              </w:rPr>
              <w:t>所涉及的相关环境管理活动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测绘服务（地理信息系统工程（地理信息数据采集及处理）、工程测量、不动产测绘（地籍测绘、房产测绘））、土地整理服务 土地调查评估服务</w:t>
            </w:r>
            <w:r>
              <w:rPr>
                <w:rFonts w:hint="eastAsia" w:ascii="宋体" w:hAnsi="宋体"/>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ascii="黑体" w:hAnsi="黑体" w:eastAsia="黑体" w:cs="黑体"/>
                <w:b/>
                <w:color w:val="000000" w:themeColor="text1"/>
                <w:spacing w:val="-10"/>
                <w:szCs w:val="21"/>
              </w:rPr>
              <w:t>■</w:t>
            </w:r>
            <w:r>
              <w:rPr>
                <w:rFonts w:hint="eastAsia"/>
                <w:b/>
                <w:color w:val="000000" w:themeColor="text1"/>
                <w:szCs w:val="21"/>
              </w:rPr>
              <w:t xml:space="preserve">EMS   </w:t>
            </w:r>
            <w:r>
              <w:rPr>
                <w:rFonts w:hint="eastAsia" w:ascii="黑体" w:hAnsi="黑体" w:eastAsia="黑体" w:cs="黑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1588135</wp:posOffset>
            </wp:positionH>
            <wp:positionV relativeFrom="paragraph">
              <wp:posOffset>320040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85888" behindDoc="0" locked="0" layoutInCell="1" allowOverlap="1">
            <wp:simplePos x="0" y="0"/>
            <wp:positionH relativeFrom="column">
              <wp:posOffset>2298700</wp:posOffset>
            </wp:positionH>
            <wp:positionV relativeFrom="paragraph">
              <wp:posOffset>147320</wp:posOffset>
            </wp:positionV>
            <wp:extent cx="476250" cy="237490"/>
            <wp:effectExtent l="0" t="0" r="0" b="1016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476250" cy="237490"/>
                    </a:xfrm>
                    <a:prstGeom prst="rect">
                      <a:avLst/>
                    </a:prstGeom>
                  </pic:spPr>
                </pic:pic>
              </a:graphicData>
            </a:graphic>
          </wp:anchor>
        </w:drawing>
      </w:r>
      <w:r>
        <w:rPr>
          <w:sz w:val="22"/>
          <w:szCs w:val="22"/>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102235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a:stretch>
                      <a:fillRect/>
                    </a:stretch>
                  </pic:blipFill>
                  <pic:spPr>
                    <a:xfrm>
                      <a:off x="0" y="0"/>
                      <a:ext cx="516255" cy="338455"/>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rFonts w:hint="default" w:eastAsiaTheme="minorEastAsia"/>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 xml:space="preserve">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ascii="黑体" w:hAnsi="黑体" w:eastAsia="黑体" w:cs="黑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2032" behindDoc="0" locked="0" layoutInCell="1" allowOverlap="1">
            <wp:simplePos x="0" y="0"/>
            <wp:positionH relativeFrom="column">
              <wp:posOffset>701040</wp:posOffset>
            </wp:positionH>
            <wp:positionV relativeFrom="paragraph">
              <wp:posOffset>86360</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bookmarkStart w:id="22" w:name="_GoBack"/>
      <w:bookmarkEnd w:id="22"/>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33832"/>
    <w:multiLevelType w:val="singleLevel"/>
    <w:tmpl w:val="91133832"/>
    <w:lvl w:ilvl="0" w:tentative="0">
      <w:start w:val="2"/>
      <w:numFmt w:val="decimal"/>
      <w:suff w:val="nothing"/>
      <w:lvlText w:val="%1、"/>
      <w:lvlJc w:val="left"/>
    </w:lvl>
  </w:abstractNum>
  <w:abstractNum w:abstractNumId="1">
    <w:nsid w:val="F210E964"/>
    <w:multiLevelType w:val="singleLevel"/>
    <w:tmpl w:val="F210E964"/>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C4639E"/>
    <w:rsid w:val="01CC249C"/>
    <w:rsid w:val="02336F7E"/>
    <w:rsid w:val="033A1E41"/>
    <w:rsid w:val="03920E58"/>
    <w:rsid w:val="04A21C21"/>
    <w:rsid w:val="05622CD4"/>
    <w:rsid w:val="061773D5"/>
    <w:rsid w:val="06507FD8"/>
    <w:rsid w:val="072B6D46"/>
    <w:rsid w:val="077C3CC8"/>
    <w:rsid w:val="07E16557"/>
    <w:rsid w:val="08086AAD"/>
    <w:rsid w:val="08727AAF"/>
    <w:rsid w:val="08851485"/>
    <w:rsid w:val="0B433D8B"/>
    <w:rsid w:val="0B8C56B5"/>
    <w:rsid w:val="0BBF2143"/>
    <w:rsid w:val="0E954537"/>
    <w:rsid w:val="0F9D38E4"/>
    <w:rsid w:val="10DD0C6A"/>
    <w:rsid w:val="152F5E17"/>
    <w:rsid w:val="15344556"/>
    <w:rsid w:val="155B7F14"/>
    <w:rsid w:val="156F44CB"/>
    <w:rsid w:val="171A05DC"/>
    <w:rsid w:val="184215C5"/>
    <w:rsid w:val="19882C20"/>
    <w:rsid w:val="1992325A"/>
    <w:rsid w:val="1A3D6C95"/>
    <w:rsid w:val="1ADF095E"/>
    <w:rsid w:val="1BED395A"/>
    <w:rsid w:val="1C4F59A2"/>
    <w:rsid w:val="1DA73937"/>
    <w:rsid w:val="1FD00F4A"/>
    <w:rsid w:val="1FD645AC"/>
    <w:rsid w:val="20382AB5"/>
    <w:rsid w:val="21297A4F"/>
    <w:rsid w:val="214756C8"/>
    <w:rsid w:val="230221AA"/>
    <w:rsid w:val="234332BF"/>
    <w:rsid w:val="23C549AA"/>
    <w:rsid w:val="23D009E5"/>
    <w:rsid w:val="24585123"/>
    <w:rsid w:val="25442012"/>
    <w:rsid w:val="25905AC2"/>
    <w:rsid w:val="27AE224E"/>
    <w:rsid w:val="27F53FE6"/>
    <w:rsid w:val="27FE4F0E"/>
    <w:rsid w:val="282A04E0"/>
    <w:rsid w:val="28BC3EAB"/>
    <w:rsid w:val="28D94232"/>
    <w:rsid w:val="2B1E4C43"/>
    <w:rsid w:val="2C453FC6"/>
    <w:rsid w:val="2CFA5E75"/>
    <w:rsid w:val="2D5D0F3D"/>
    <w:rsid w:val="2D716ECD"/>
    <w:rsid w:val="2DF834BE"/>
    <w:rsid w:val="2E554323"/>
    <w:rsid w:val="2F5A5531"/>
    <w:rsid w:val="323231C5"/>
    <w:rsid w:val="3384096C"/>
    <w:rsid w:val="35FC26AD"/>
    <w:rsid w:val="375D2171"/>
    <w:rsid w:val="37A77BC7"/>
    <w:rsid w:val="37D801D5"/>
    <w:rsid w:val="39D82291"/>
    <w:rsid w:val="39F33401"/>
    <w:rsid w:val="3A5975C5"/>
    <w:rsid w:val="3B8A242F"/>
    <w:rsid w:val="3CD569EA"/>
    <w:rsid w:val="3D5E7EF1"/>
    <w:rsid w:val="3E072DC0"/>
    <w:rsid w:val="3EBF3395"/>
    <w:rsid w:val="3F816B1B"/>
    <w:rsid w:val="401960FD"/>
    <w:rsid w:val="403D4863"/>
    <w:rsid w:val="413D0230"/>
    <w:rsid w:val="414C0D2B"/>
    <w:rsid w:val="41AB0840"/>
    <w:rsid w:val="44153E21"/>
    <w:rsid w:val="45F90402"/>
    <w:rsid w:val="46356ECE"/>
    <w:rsid w:val="47FA4606"/>
    <w:rsid w:val="49204C28"/>
    <w:rsid w:val="493D1E63"/>
    <w:rsid w:val="4A9B7914"/>
    <w:rsid w:val="4B0E0B5A"/>
    <w:rsid w:val="4BCA7191"/>
    <w:rsid w:val="4BF40B10"/>
    <w:rsid w:val="4E510D42"/>
    <w:rsid w:val="4ED65414"/>
    <w:rsid w:val="4F4F1476"/>
    <w:rsid w:val="503B243A"/>
    <w:rsid w:val="50AA3463"/>
    <w:rsid w:val="5164146F"/>
    <w:rsid w:val="522D6741"/>
    <w:rsid w:val="5287611E"/>
    <w:rsid w:val="52BC6F27"/>
    <w:rsid w:val="52DB3B75"/>
    <w:rsid w:val="563C6980"/>
    <w:rsid w:val="56680AF2"/>
    <w:rsid w:val="58851766"/>
    <w:rsid w:val="59807FC2"/>
    <w:rsid w:val="59A86754"/>
    <w:rsid w:val="5A9D0835"/>
    <w:rsid w:val="5AA76324"/>
    <w:rsid w:val="5BE73ADF"/>
    <w:rsid w:val="5C2B509F"/>
    <w:rsid w:val="5CB62195"/>
    <w:rsid w:val="5E125730"/>
    <w:rsid w:val="5E2C394A"/>
    <w:rsid w:val="5EAF318F"/>
    <w:rsid w:val="5F056BC6"/>
    <w:rsid w:val="5FF92702"/>
    <w:rsid w:val="60CB6E3D"/>
    <w:rsid w:val="613660BE"/>
    <w:rsid w:val="61AF5401"/>
    <w:rsid w:val="622A48E4"/>
    <w:rsid w:val="62910625"/>
    <w:rsid w:val="62C712F7"/>
    <w:rsid w:val="62FA3DD4"/>
    <w:rsid w:val="632034A6"/>
    <w:rsid w:val="63345CBB"/>
    <w:rsid w:val="66986F3E"/>
    <w:rsid w:val="669D56A0"/>
    <w:rsid w:val="66A41997"/>
    <w:rsid w:val="66B64999"/>
    <w:rsid w:val="66E34A96"/>
    <w:rsid w:val="679A0DCF"/>
    <w:rsid w:val="680905C4"/>
    <w:rsid w:val="68B70CA8"/>
    <w:rsid w:val="68BA371D"/>
    <w:rsid w:val="68F14BED"/>
    <w:rsid w:val="691F1699"/>
    <w:rsid w:val="69570F40"/>
    <w:rsid w:val="69715F28"/>
    <w:rsid w:val="699D56AA"/>
    <w:rsid w:val="6A5566AE"/>
    <w:rsid w:val="6A754F5B"/>
    <w:rsid w:val="6A8B4C07"/>
    <w:rsid w:val="6A947301"/>
    <w:rsid w:val="6BFB49EF"/>
    <w:rsid w:val="6C265873"/>
    <w:rsid w:val="6EA4741A"/>
    <w:rsid w:val="6EE20A5E"/>
    <w:rsid w:val="716440E2"/>
    <w:rsid w:val="73B0413A"/>
    <w:rsid w:val="73BB3908"/>
    <w:rsid w:val="749564BD"/>
    <w:rsid w:val="74EE6ACB"/>
    <w:rsid w:val="75D76583"/>
    <w:rsid w:val="768232FC"/>
    <w:rsid w:val="76BE7561"/>
    <w:rsid w:val="76C5607F"/>
    <w:rsid w:val="77952F0D"/>
    <w:rsid w:val="77B96D29"/>
    <w:rsid w:val="77C3724A"/>
    <w:rsid w:val="784F401D"/>
    <w:rsid w:val="792A0809"/>
    <w:rsid w:val="794303EC"/>
    <w:rsid w:val="7A5C437B"/>
    <w:rsid w:val="7FBF0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2021-01-08T08:05:21Z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