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德阳中大电力成套设备制造有限公司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0753-2020-EO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 xml:space="preserve">915106005582373225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vAlign w:val="top"/>
          </w:tcPr>
          <w:p>
            <w:pPr>
              <w:rPr>
                <w:color w:val="000000"/>
                <w:szCs w:val="21"/>
              </w:rPr>
            </w:pPr>
            <w:r>
              <w:rPr>
                <w:rFonts w:hint="eastAsia"/>
                <w:color w:val="000000"/>
                <w:szCs w:val="21"/>
              </w:rPr>
              <w:t>营业执照的经营范围覆盖组织审核任务书确定的范围</w:t>
            </w:r>
          </w:p>
          <w:p>
            <w:pPr>
              <w:rPr>
                <w:color w:val="000000"/>
                <w:szCs w:val="21"/>
              </w:rPr>
            </w:pP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覆盖</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vAlign w:val="top"/>
          </w:tcPr>
          <w:p>
            <w:pPr>
              <w:rPr>
                <w:color w:val="000000"/>
                <w:szCs w:val="21"/>
              </w:rPr>
            </w:pPr>
            <w:r>
              <w:rPr>
                <w:rFonts w:hint="eastAsia"/>
                <w:color w:val="000000"/>
                <w:szCs w:val="21"/>
              </w:rPr>
              <w:t>提供有企业的经营场地、生产场地</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注：</w:t>
            </w:r>
          </w:p>
        </w:tc>
        <w:tc>
          <w:tcPr>
            <w:tcW w:w="1963" w:type="dxa"/>
            <w:vAlign w:val="top"/>
          </w:tcPr>
          <w:p>
            <w:pPr>
              <w:rPr>
                <w:color w:val="000000"/>
                <w:szCs w:val="21"/>
              </w:rPr>
            </w:pPr>
            <w:r>
              <w:rPr>
                <w:rFonts w:hint="eastAsia"/>
                <w:color w:val="000000"/>
                <w:szCs w:val="21"/>
              </w:rPr>
              <w:t>与审核任务书相同</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不相同</w:t>
            </w:r>
          </w:p>
        </w:tc>
        <w:tc>
          <w:tcPr>
            <w:tcW w:w="1155" w:type="dxa"/>
            <w:vAlign w:val="top"/>
          </w:tcPr>
          <w:p>
            <w:pPr>
              <w:rPr>
                <w:rFonts w:hint="eastAsia"/>
                <w:color w:val="000000"/>
                <w:szCs w:val="21"/>
              </w:rPr>
            </w:pPr>
            <w:r>
              <w:rPr>
                <w:rFonts w:hint="eastAsia" w:ascii="黑体" w:hAnsi="黑体" w:eastAsia="黑体" w:cs="黑体"/>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提供有德阳市中大运业有限公司机械加工项目《环境影响报告表》的批复，德市旌环｛2017｝468号。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提供有德阳市中大运业有限公司机械加工项目竣工环境保护验收申请、验收结论：同意通过验收，德市旌环验（2018）4号。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ascii="Times New Roman" w:hAnsi="Times New Roman" w:eastAsia="宋体" w:cs="Times New Roman"/>
                <w:color w:val="000000"/>
                <w:kern w:val="2"/>
                <w:sz w:val="21"/>
                <w:szCs w:val="21"/>
                <w:lang w:val="en-US" w:eastAsia="zh-CN" w:bidi="ar-SA"/>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rFonts w:ascii="Times New Roman" w:hAnsi="Times New Roman" w:eastAsia="宋体" w:cs="Times New Roman"/>
                <w:color w:val="000000"/>
                <w:kern w:val="2"/>
                <w:sz w:val="21"/>
                <w:szCs w:val="21"/>
                <w:lang w:val="en-US" w:eastAsia="zh-CN" w:bidi="ar-SA"/>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2336" behindDoc="1" locked="0" layoutInCell="1" allowOverlap="1">
                  <wp:simplePos x="0" y="0"/>
                  <wp:positionH relativeFrom="column">
                    <wp:posOffset>3859530</wp:posOffset>
                  </wp:positionH>
                  <wp:positionV relativeFrom="paragraph">
                    <wp:posOffset>48895</wp:posOffset>
                  </wp:positionV>
                  <wp:extent cx="868680" cy="537845"/>
                  <wp:effectExtent l="0" t="0" r="0" b="10795"/>
                  <wp:wrapNone/>
                  <wp:docPr id="2" name="图片 2"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
                          <pic:cNvPicPr>
                            <a:picLocks noChangeAspect="1"/>
                          </pic:cNvPicPr>
                        </pic:nvPicPr>
                        <pic:blipFill>
                          <a:blip r:embed="rId5"/>
                          <a:stretch>
                            <a:fillRect/>
                          </a:stretch>
                        </pic:blipFill>
                        <pic:spPr>
                          <a:xfrm>
                            <a:off x="0" y="0"/>
                            <a:ext cx="868680" cy="53784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2021年1月1日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873239"/>
    <w:rsid w:val="64241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6</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2021-01-04T03:09:25Z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