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华润雪花啤酒（四川）有限责任公司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0489-2019-EO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2019-N1OHSMS-2093566</w:t>
            </w:r>
          </w:p>
          <w:p w:rsidR="009F508A">
            <w:pPr>
              <w:snapToGrid w:val="0"/>
              <w:spacing w:line="320" w:lineRule="exact"/>
              <w:ind w:left="1309"/>
              <w:rPr>
                <w:sz w:val="22"/>
                <w:szCs w:val="22"/>
                <w:highlight w:val="yellow"/>
              </w:rPr>
            </w:pPr>
            <w:r>
              <w:rPr>
                <w:sz w:val="22"/>
                <w:szCs w:val="22"/>
                <w:highlight w:val="yellow"/>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2018-N1OHSMS-1230067</w:t>
            </w:r>
          </w:p>
          <w:p w:rsidR="009F508A">
            <w:pPr>
              <w:snapToGrid w:val="0"/>
              <w:spacing w:line="320" w:lineRule="exact"/>
              <w:ind w:left="1309"/>
              <w:rPr>
                <w:sz w:val="22"/>
                <w:szCs w:val="22"/>
                <w:highlight w:val="yellow"/>
              </w:rPr>
            </w:pPr>
            <w:r>
              <w:rPr>
                <w:sz w:val="22"/>
                <w:szCs w:val="22"/>
                <w:highlight w:val="yellow"/>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唐智</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成都九州无同文化展示科技有限公司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