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李俐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2018-N1OHSMS-1222792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ISC[S]0008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张星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2020-N1EMS-1263722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2020-N1QMS-1263722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ISC-263722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河北盛隆教学设备有限公司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定州市庞村镇西坂村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073000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定州市庞村镇西坂村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073000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定州市庞村镇西坂村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073000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豆胜怀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13784996127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豆亚涛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豆胜怀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2021年01月03日 下午至2021年01月03日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