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四川傲永科技有限责任公司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zh-CN"/>
              </w:rPr>
              <w:t>合同签订-设计输入交付（甲方提供）--方案设计-初步设计-施工图设计-评审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/>
              </w:rPr>
              <w:t>设计变更（需要时）-交付客户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设计过程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1）潜在火灾；2）固废的排放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1）火灾；2）</w:t>
            </w:r>
            <w:r>
              <w:rPr>
                <w:rFonts w:hint="eastAsia"/>
                <w:b/>
                <w:sz w:val="20"/>
                <w:lang w:val="en-US" w:eastAsia="zh-CN"/>
              </w:rPr>
              <w:t>交通事故</w:t>
            </w:r>
            <w:r>
              <w:rPr>
                <w:rFonts w:hint="eastAsia"/>
                <w:b/>
                <w:sz w:val="20"/>
              </w:rPr>
              <w:t>；3）触电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通过管理方案和预案控制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120" w:leftChars="50" w:right="120" w:rightChars="50" w:firstLine="0" w:firstLineChars="0"/>
              <w:rPr>
                <w:rFonts w:ascii="Arial" w:hAnsi="Arial" w:eastAsia="仿宋_GB2312" w:cs="Times New Roman"/>
                <w:b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0"/>
                <w:szCs w:val="22"/>
                <w:lang w:val="zh-CN"/>
              </w:rPr>
              <w:t>《城镇燃气技术规范》GB50494-2009；</w:t>
            </w:r>
            <w:r>
              <w:rPr>
                <w:rFonts w:hint="eastAsia" w:ascii="Times New Roman" w:hAnsi="Times New Roman" w:eastAsia="宋体"/>
                <w:b/>
                <w:kern w:val="2"/>
                <w:sz w:val="20"/>
                <w:szCs w:val="22"/>
              </w:rPr>
              <w:t>《城镇燃气设计规范》GB50028-2006；《建筑设计防火规范》GB50016-2014；《建筑物防雷设计规范》GB50057-2010；《聚乙烯燃气管道工程技术标准》CJJ63-201；《工业金属管道工程施工规范》GB50235-2010；《石油天然气管道安全规程》SY6186-2007；《城镇燃气室内工程施工与质量验收规范》CJJ94-2009；《城镇燃气输配工程施工及验收规范》CJJ33-2005；《石油化工设备和管道涂料防腐蚀设计规范》SH/T3022-2011；《动火作业安全管理规范》Q/SY1241-2009；《城镇燃气设施运行、维护和抢修安全设计规程》CJJ51-2016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文平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2020.12.30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文平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2020.12.30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2503"/>
    <w:multiLevelType w:val="multilevel"/>
    <w:tmpl w:val="74A12503"/>
    <w:lvl w:ilvl="0" w:tentative="0">
      <w:start w:val="1"/>
      <w:numFmt w:val="decimal"/>
      <w:suff w:val="space"/>
      <w:lvlText w:val="%1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2835" w:firstLine="0"/>
      </w:pPr>
      <w:rPr>
        <w:rFonts w:hint="eastAsia"/>
      </w:rPr>
    </w:lvl>
    <w:lvl w:ilvl="2" w:tentative="0">
      <w:start w:val="1"/>
      <w:numFmt w:val="decimal"/>
      <w:pStyle w:val="11"/>
      <w:suff w:val="space"/>
      <w:lvlText w:val="%1.%2.%3 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2585"/>
        </w:tabs>
        <w:ind w:left="1133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370"/>
        </w:tabs>
        <w:ind w:left="170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155"/>
        </w:tabs>
        <w:ind w:left="240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300"/>
        </w:tabs>
        <w:ind w:left="297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85"/>
        </w:tabs>
        <w:ind w:left="354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71"/>
        </w:tabs>
        <w:ind w:left="425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456FD8"/>
    <w:rsid w:val="5E8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条标题（科宏）"/>
    <w:next w:val="1"/>
    <w:qFormat/>
    <w:uiPriority w:val="0"/>
    <w:pPr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="Arial" w:hAnsi="Arial" w:eastAsia="仿宋_GB2312" w:cs="Times New Roman"/>
      <w:sz w:val="28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2020-12-26T15:12:00Z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