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成都爱天使健康咨询有限公司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梅月</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E:38.04.00</w:t>
            </w:r>
          </w:p>
          <w:p>
            <w:pPr>
              <w:spacing w:line="240" w:lineRule="exact"/>
              <w:jc w:val="center"/>
              <w:rPr>
                <w:b/>
                <w:color w:val="000000" w:themeColor="text1"/>
                <w:sz w:val="20"/>
                <w:szCs w:val="20"/>
              </w:rPr>
            </w:pPr>
            <w:r>
              <w:rPr>
                <w:b/>
                <w:color w:val="000000" w:themeColor="text1"/>
                <w:sz w:val="20"/>
                <w:szCs w:val="20"/>
              </w:rPr>
              <w:t>O:38.04.00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成都爱天使健康咨询有限公司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成都市成华区双林路339号1栋5层525号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成都市成华区双林路339号1栋5层525号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陈华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蒋慧</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E：病人陪护服务（不含诊疗）所涉及场所的相关环境管理活动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O：病人陪护服务（不含诊疗）所涉及场所的相关职业健康安全管理活动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E：38.04.00</w:t>
            </w:r>
          </w:p>
          <w:p>
            <w:pPr>
              <w:spacing w:line="320" w:lineRule="exact"/>
              <w:rPr>
                <w:rFonts w:ascii="宋体" w:hAnsi="宋体"/>
                <w:b/>
                <w:color w:val="000000" w:themeColor="text1"/>
                <w:sz w:val="20"/>
                <w:szCs w:val="20"/>
              </w:rPr>
            </w:pPr>
            <w:r>
              <w:rPr>
                <w:rFonts w:ascii="宋体" w:hAnsi="宋体"/>
                <w:b/>
                <w:color w:val="000000" w:themeColor="text1"/>
                <w:sz w:val="20"/>
                <w:szCs w:val="20"/>
              </w:rPr>
              <w:t>O：38.04.00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见多场所清单</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行政人事部</w:t>
            </w:r>
            <w:r>
              <w:rPr>
                <w:rFonts w:hint="eastAsia" w:ascii="宋体" w:hAnsi="宋体"/>
                <w:b/>
                <w:color w:val="000000" w:themeColor="text1"/>
                <w:sz w:val="20"/>
                <w:szCs w:val="20"/>
                <w:lang w:eastAsia="zh-CN"/>
              </w:rPr>
              <w:tab/>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业务</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不合格品控制；纠正和预防措施控制；策划管理；过程监控管理；产品验收管理；监视和测量设备管理；服务过程管理；设备设施管理；合同管理；采购管理；外部供方管理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30" w:type="dxa"/>
          </w:tcPr>
          <w:p>
            <w:pPr>
              <w:rPr>
                <w:b/>
                <w:color w:val="000000" w:themeColor="text1"/>
                <w:sz w:val="20"/>
                <w:szCs w:val="20"/>
              </w:rPr>
            </w:pPr>
            <w:r>
              <w:rPr>
                <w:rFonts w:hint="eastAsia" w:ascii="宋体" w:hAnsi="宋体"/>
                <w:szCs w:val="21"/>
              </w:rPr>
              <w:t>病人陪护服务（不含诊疗）</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与客户签订的三方协议及合同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b/>
                <w:color w:val="000000" w:themeColor="text1"/>
              </w:rPr>
            </w:pP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坚持走可持续发展之路，倡导绿色环保思想，遵守法律法规，从产品销售到服务的全过程中，实行污染预防和持续改进。</w:t>
            </w:r>
            <w:r>
              <w:rPr>
                <w:rFonts w:hint="eastAsia" w:ascii="宋体" w:hAnsi="宋体"/>
                <w:color w:val="000000"/>
                <w:szCs w:val="21"/>
              </w:rPr>
              <w:t>保障健康、安全服务、以人为本、永续发展、遵守法规、持续改进</w:t>
            </w:r>
            <w:r>
              <w:rPr>
                <w:rFonts w:hint="eastAsia" w:ascii="宋体" w:hAnsi="宋体"/>
                <w:color w:val="000000"/>
                <w:szCs w:val="21"/>
                <w:lang w:eastAsia="zh-CN"/>
              </w:rPr>
              <w:t>。</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rPr>
            </w:pPr>
            <w:r>
              <w:rPr>
                <w:rFonts w:hint="eastAsia"/>
                <w:b/>
                <w:color w:val="000000" w:themeColor="text1"/>
              </w:rPr>
              <w:t>风险识别与控制策划（QMS）</w:t>
            </w:r>
          </w:p>
          <w:p>
            <w:pPr>
              <w:numPr>
                <w:ilvl w:val="0"/>
                <w:numId w:val="0"/>
              </w:numPr>
              <w:spacing w:line="240" w:lineRule="exact"/>
              <w:rPr>
                <w:rFonts w:hint="default" w:eastAsia="宋体"/>
                <w:b/>
                <w:color w:val="000000" w:themeColor="text1"/>
                <w:lang w:val="en-US" w:eastAsia="zh-CN"/>
              </w:rPr>
            </w:pPr>
            <w:r>
              <w:rPr>
                <w:rFonts w:hint="eastAsia"/>
                <w:b/>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val="en-US" w:eastAsia="zh-CN"/>
              </w:rPr>
              <w:t>服务过程</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宋体" w:hAnsi="宋体"/>
                <w:color w:val="000000"/>
                <w:szCs w:val="21"/>
              </w:rPr>
              <w:t>环境、职业健</w:t>
            </w:r>
            <w:r>
              <w:rPr>
                <w:rFonts w:hint="eastAsia" w:asciiTheme="minorEastAsia" w:hAnsiTheme="minorEastAsia" w:eastAsiaTheme="minorEastAsia" w:cstheme="minorEastAsia"/>
                <w:szCs w:val="21"/>
              </w:rPr>
              <w:t>康安全管理目标：</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办公、生活废弃物分类收集处理率100%；</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职业病发生率为0；</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3、传染病发生率</w:t>
            </w:r>
            <w:r>
              <w:rPr>
                <w:rFonts w:hint="eastAsia" w:asciiTheme="minorEastAsia" w:hAnsiTheme="minorEastAsia" w:eastAsiaTheme="minorEastAsia" w:cstheme="minorEastAsia"/>
                <w:szCs w:val="21"/>
              </w:rPr>
              <w:t>为0；</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火灾事故为0；</w:t>
            </w:r>
          </w:p>
          <w:p>
            <w:pPr>
              <w:numPr>
                <w:ilvl w:val="0"/>
                <w:numId w:val="0"/>
              </w:numPr>
              <w:tabs>
                <w:tab w:val="left" w:pos="900"/>
              </w:tabs>
              <w:spacing w:line="360" w:lineRule="auto"/>
              <w:ind w:leftChars="0"/>
              <w:rPr>
                <w:rFonts w:ascii="宋体" w:hAnsi="宋体"/>
                <w:b/>
                <w:color w:val="000000" w:themeColor="text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环境扰民投诉为0。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w:t>
            </w:r>
            <w:r>
              <w:rPr>
                <w:rFonts w:hint="eastAsia" w:ascii="宋体" w:hAnsi="宋体"/>
                <w:bCs/>
                <w:iCs/>
                <w:szCs w:val="22"/>
                <w:lang w:eastAsia="zh-CN"/>
              </w:rPr>
              <w:t>、</w:t>
            </w:r>
            <w:r>
              <w:rPr>
                <w:rFonts w:hint="eastAsia" w:ascii="宋体" w:hAnsi="宋体"/>
                <w:bCs/>
                <w:iCs/>
                <w:szCs w:val="22"/>
              </w:rPr>
              <w:t>设备等资源，并建立维持了</w:t>
            </w:r>
            <w:r>
              <w:rPr>
                <w:rFonts w:hint="eastAsia" w:ascii="宋体" w:hAnsi="宋体"/>
                <w:szCs w:val="21"/>
              </w:rPr>
              <w:t>病人陪护服务（不含诊疗）</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sz w:val="20"/>
                <w:szCs w:val="20"/>
              </w:rPr>
            </w:pPr>
            <w:r>
              <w:rPr>
                <w:rFonts w:hint="eastAsia" w:ascii="宋体" w:hAnsi="宋体"/>
                <w:b/>
                <w:color w:val="000000" w:themeColor="text1"/>
                <w:sz w:val="20"/>
                <w:szCs w:val="20"/>
              </w:rPr>
              <w:t>设备设施（包括信息系统）、</w:t>
            </w:r>
            <w:r>
              <w:rPr>
                <w:rFonts w:hint="eastAsia" w:ascii="宋体" w:hAnsi="宋体"/>
                <w:color w:val="auto"/>
                <w:szCs w:val="21"/>
              </w:rPr>
              <w:t>办公场所面积</w:t>
            </w:r>
            <w:r>
              <w:rPr>
                <w:rFonts w:hint="eastAsia" w:ascii="宋体" w:hAnsi="宋体"/>
                <w:color w:val="auto"/>
                <w:szCs w:val="21"/>
                <w:lang w:val="en-US" w:eastAsia="zh-CN"/>
              </w:rPr>
              <w:t>3</w:t>
            </w:r>
            <w:r>
              <w:rPr>
                <w:rFonts w:hint="eastAsia" w:ascii="宋体" w:hAnsi="宋体"/>
                <w:color w:val="auto"/>
                <w:szCs w:val="21"/>
              </w:rPr>
              <w:t>00平方左右。</w:t>
            </w:r>
            <w:r>
              <w:rPr>
                <w:rFonts w:hint="eastAsia" w:ascii="宋体" w:hAnsi="宋体" w:cs="宋体"/>
                <w:color w:val="auto"/>
                <w:szCs w:val="21"/>
              </w:rPr>
              <w:t>主要设备包括</w:t>
            </w:r>
            <w:r>
              <w:rPr>
                <w:rFonts w:hint="eastAsia" w:ascii="宋体" w:hAnsi="宋体"/>
                <w:color w:val="auto"/>
                <w:szCs w:val="21"/>
              </w:rPr>
              <w:t>电脑、打印机</w:t>
            </w:r>
            <w:r>
              <w:rPr>
                <w:rFonts w:hint="eastAsia" w:ascii="宋体" w:hAnsi="宋体" w:cs="宋体"/>
                <w:color w:val="auto"/>
                <w:szCs w:val="21"/>
              </w:rPr>
              <w:t>等办公设备</w:t>
            </w:r>
            <w:r>
              <w:rPr>
                <w:rFonts w:hint="eastAsia" w:ascii="宋体" w:hAnsi="宋体"/>
                <w:color w:val="auto"/>
                <w:szCs w:val="21"/>
              </w:rPr>
              <w:t>设备，可以满足服务的需要</w:t>
            </w:r>
            <w:r>
              <w:rPr>
                <w:rFonts w:hint="eastAsia" w:ascii="宋体" w:hAnsi="宋体" w:cs="宋体"/>
                <w:color w:val="auto"/>
                <w:szCs w:val="21"/>
              </w:rPr>
              <w:t>。对设备按月</w:t>
            </w:r>
            <w:r>
              <w:rPr>
                <w:rFonts w:hint="eastAsia" w:ascii="宋体" w:hAnsi="宋体" w:cs="宋体"/>
                <w:szCs w:val="21"/>
              </w:rPr>
              <w:t>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cs="宋体"/>
                <w:szCs w:val="21"/>
                <w:lang w:val="en-US" w:eastAsia="zh-CN"/>
              </w:rPr>
              <w:t>经营</w:t>
            </w:r>
            <w:r>
              <w:rPr>
                <w:rFonts w:hint="eastAsia" w:ascii="宋体" w:hAnsi="宋体" w:cs="宋体"/>
                <w:szCs w:val="21"/>
              </w:rPr>
              <w:t>场所和内设备布置合理，通道畅通，照明设施齐全，均配备了消防设施等设施。办公室明亮，培训场所光线较充足。每月由</w:t>
            </w:r>
            <w:r>
              <w:rPr>
                <w:rFonts w:hint="eastAsia" w:ascii="宋体" w:hAnsi="宋体" w:cs="宋体"/>
                <w:szCs w:val="21"/>
                <w:lang w:eastAsia="zh-CN"/>
              </w:rPr>
              <w:t>行政人事部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组织建立了危险源识别、评价控制程序，识别评价了危险源、风险相关的过程，评价出了重要危险源（潜在火灾、</w:t>
            </w:r>
            <w:r>
              <w:rPr>
                <w:rFonts w:hint="eastAsia" w:asciiTheme="minorEastAsia" w:hAnsiTheme="minorEastAsia" w:eastAsiaTheme="minorEastAsia"/>
                <w:bCs/>
                <w:iCs/>
                <w:lang w:val="en-US" w:eastAsia="zh-CN"/>
              </w:rPr>
              <w:t>触电、传染病</w:t>
            </w:r>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val="en-US" w:eastAsia="zh-CN"/>
              </w:rPr>
              <w:t>服务</w:t>
            </w:r>
            <w:r>
              <w:rPr>
                <w:rFonts w:hint="eastAsia" w:asciiTheme="minorEastAsia" w:hAnsiTheme="minorEastAsia" w:eastAsiaTheme="minorEastAsia"/>
                <w:bCs/>
                <w:iCs/>
              </w:rPr>
              <w:t>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auto"/>
                <w:szCs w:val="21"/>
              </w:rPr>
              <w:t>通过数据的汇总统计、描述性统计等方法对目标进行了测量，总体已达到或超过了规定的目标值。通过2020年</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w:t>
            </w:r>
            <w:r>
              <w:rPr>
                <w:rFonts w:hint="eastAsia" w:ascii="宋体" w:hAnsi="宋体"/>
                <w:color w:val="000000" w:themeColor="text1"/>
                <w:szCs w:val="21"/>
              </w:rPr>
              <w:t>2020年11月15日至11月16日</w:t>
            </w:r>
            <w:r>
              <w:rPr>
                <w:rFonts w:hint="eastAsia" w:ascii="宋体" w:hAnsi="宋体"/>
                <w:szCs w:val="21"/>
              </w:rPr>
              <w:t>，拟定了审核实施表，明确了内审范围，内审人员经培训合格上岗，能力满足要求，未出现审核本部门情况，内审不符合项1项，涉及</w:t>
            </w:r>
            <w:r>
              <w:rPr>
                <w:rFonts w:hint="eastAsia" w:ascii="宋体" w:hAnsi="宋体"/>
                <w:szCs w:val="21"/>
                <w:lang w:val="en-US" w:eastAsia="zh-CN"/>
              </w:rPr>
              <w:t>行政人事</w:t>
            </w:r>
            <w:bookmarkStart w:id="22" w:name="_GoBack"/>
            <w:bookmarkEnd w:id="22"/>
            <w:r>
              <w:rPr>
                <w:rFonts w:hint="eastAsia" w:ascii="宋体" w:hAnsi="宋体"/>
                <w:szCs w:val="21"/>
              </w:rPr>
              <w:t>部ES</w:t>
            </w:r>
            <w:r>
              <w:rPr>
                <w:rFonts w:hint="eastAsia" w:ascii="宋体" w:hAnsi="宋体"/>
                <w:szCs w:val="21"/>
                <w:lang w:val="en-US" w:eastAsia="zh-CN"/>
              </w:rPr>
              <w:t>8</w:t>
            </w:r>
            <w:r>
              <w:rPr>
                <w:rFonts w:hint="eastAsia" w:ascii="宋体" w:hAnsi="宋体"/>
                <w:szCs w:val="21"/>
              </w:rPr>
              <w:t>.2条款</w:t>
            </w:r>
            <w:r>
              <w:rPr>
                <w:rFonts w:hint="eastAsia" w:ascii="宋体" w:hAnsi="宋体" w:cs="宋体"/>
                <w:szCs w:val="21"/>
              </w:rPr>
              <w:t>在审核</w:t>
            </w:r>
            <w:r>
              <w:rPr>
                <w:rFonts w:hint="eastAsia" w:ascii="宋体" w:hAnsi="宋体" w:cs="宋体"/>
                <w:szCs w:val="21"/>
                <w:lang w:val="en-US" w:eastAsia="zh-CN"/>
              </w:rPr>
              <w:t>业务</w:t>
            </w:r>
            <w:r>
              <w:rPr>
                <w:rFonts w:hint="eastAsia" w:ascii="宋体" w:hAnsi="宋体"/>
                <w:szCs w:val="21"/>
              </w:rPr>
              <w:t>部时，未能提供应急预案记录，针对该不符合项，已及时采取纠正措施后，经内审员验证关闭。内审的有效性需要改善。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auto"/>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w:t>
      </w:r>
      <w:r>
        <w:rPr>
          <w:rFonts w:hint="eastAsia"/>
          <w:b/>
          <w:color w:val="auto"/>
          <w:lang w:val="en-US" w:eastAsia="zh-CN"/>
        </w:rPr>
        <w:t>0</w:t>
      </w:r>
      <w:r>
        <w:rPr>
          <w:rFonts w:hint="eastAsia"/>
          <w:b/>
          <w:color w:val="auto"/>
        </w:rPr>
        <w:t>项分布在</w:t>
      </w:r>
      <w:r>
        <w:rPr>
          <w:rFonts w:hint="eastAsia"/>
          <w:b/>
          <w:color w:val="auto"/>
          <w:lang w:val="en-US" w:eastAsia="zh-CN"/>
        </w:rPr>
        <w:t>行政人事部</w:t>
      </w:r>
      <w:r>
        <w:rPr>
          <w:rFonts w:hint="eastAsia"/>
          <w:b/>
          <w:color w:val="auto"/>
        </w:rPr>
        <w:t>部门</w:t>
      </w:r>
      <w:r>
        <w:rPr>
          <w:rFonts w:hint="eastAsia"/>
          <w:b/>
          <w:color w:val="auto"/>
          <w:lang w:val="en-US" w:eastAsia="zh-CN"/>
        </w:rPr>
        <w:t>ES6.1.3</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病人陪护服务（不含诊疗）所涉及场所的相关环境管理活动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 xml:space="preserve">病人陪护服务（不含诊疗）所涉及场所的相关职业健康安全管理活动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77696" behindDoc="0" locked="0" layoutInCell="1" allowOverlap="1">
            <wp:simplePos x="0" y="0"/>
            <wp:positionH relativeFrom="column">
              <wp:posOffset>1586865</wp:posOffset>
            </wp:positionH>
            <wp:positionV relativeFrom="paragraph">
              <wp:posOffset>362585</wp:posOffset>
            </wp:positionV>
            <wp:extent cx="363855" cy="377190"/>
            <wp:effectExtent l="0" t="0" r="1905" b="3810"/>
            <wp:wrapNone/>
            <wp:docPr id="4"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19-09-04 21.08.47.jpg"/>
                    <pic:cNvPicPr>
                      <a:picLocks noChangeAspect="1"/>
                    </pic:cNvPicPr>
                  </pic:nvPicPr>
                  <pic:blipFill>
                    <a:blip r:embed="rId6"/>
                    <a:stretch>
                      <a:fillRect/>
                    </a:stretch>
                  </pic:blipFill>
                  <pic:spPr>
                    <a:xfrm>
                      <a:off x="0" y="0"/>
                      <a:ext cx="363855" cy="37719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72576" behindDoc="0" locked="0" layoutInCell="1" allowOverlap="1">
            <wp:simplePos x="0" y="0"/>
            <wp:positionH relativeFrom="column">
              <wp:posOffset>2980690</wp:posOffset>
            </wp:positionH>
            <wp:positionV relativeFrom="paragraph">
              <wp:posOffset>169545</wp:posOffset>
            </wp:positionV>
            <wp:extent cx="626745" cy="443230"/>
            <wp:effectExtent l="0" t="0" r="0" b="0"/>
            <wp:wrapNone/>
            <wp:docPr id="5" name="图片 6" descr="9d2f433f3e9dc4e77291ba17bcc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9d2f433f3e9dc4e77291ba17bcc6909"/>
                    <pic:cNvPicPr>
                      <a:picLocks noChangeAspect="1"/>
                    </pic:cNvPicPr>
                  </pic:nvPicPr>
                  <pic:blipFill>
                    <a:blip r:embed="rId7"/>
                    <a:stretch>
                      <a:fillRect/>
                    </a:stretch>
                  </pic:blipFill>
                  <pic:spPr>
                    <a:xfrm>
                      <a:off x="0" y="0"/>
                      <a:ext cx="626745" cy="443230"/>
                    </a:xfrm>
                    <a:prstGeom prst="rect">
                      <a:avLst/>
                    </a:prstGeom>
                    <a:noFill/>
                    <a:ln>
                      <a:noFill/>
                    </a:ln>
                  </pic:spPr>
                </pic:pic>
              </a:graphicData>
            </a:graphic>
          </wp:anchor>
        </w:drawing>
      </w:r>
      <w:r>
        <w:rPr>
          <w:rFonts w:hint="eastAsia"/>
        </w:rPr>
        <w:drawing>
          <wp:anchor distT="0" distB="0" distL="114300" distR="114300" simplePos="0" relativeHeight="251678720" behindDoc="0" locked="0" layoutInCell="1" allowOverlap="1">
            <wp:simplePos x="0" y="0"/>
            <wp:positionH relativeFrom="column">
              <wp:posOffset>2233295</wp:posOffset>
            </wp:positionH>
            <wp:positionV relativeFrom="paragraph">
              <wp:posOffset>229870</wp:posOffset>
            </wp:positionV>
            <wp:extent cx="544830" cy="248920"/>
            <wp:effectExtent l="0" t="0" r="3810" b="10160"/>
            <wp:wrapNone/>
            <wp:docPr id="6"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87ac17c702f787ebcb7b5ad453f94b0"/>
                    <pic:cNvPicPr>
                      <a:picLocks noChangeAspect="1"/>
                    </pic:cNvPicPr>
                  </pic:nvPicPr>
                  <pic:blipFill>
                    <a:blip r:embed="rId8"/>
                    <a:stretch>
                      <a:fillRect/>
                    </a:stretch>
                  </pic:blipFill>
                  <pic:spPr>
                    <a:xfrm>
                      <a:off x="0" y="0"/>
                      <a:ext cx="544830" cy="248920"/>
                    </a:xfrm>
                    <a:prstGeom prst="rect">
                      <a:avLst/>
                    </a:prstGeom>
                    <a:noFill/>
                    <a:ln>
                      <a:noFill/>
                    </a:ln>
                  </pic:spPr>
                </pic:pic>
              </a:graphicData>
            </a:graphic>
          </wp:anchor>
        </w:drawing>
      </w:r>
      <w:r>
        <w:rPr>
          <w:sz w:val="24"/>
        </w:rPr>
        <w:drawing>
          <wp:anchor distT="0" distB="0" distL="114300" distR="114300" simplePos="0" relativeHeight="251675648" behindDoc="0" locked="0" layoutInCell="1" allowOverlap="1">
            <wp:simplePos x="0" y="0"/>
            <wp:positionH relativeFrom="column">
              <wp:posOffset>1476375</wp:posOffset>
            </wp:positionH>
            <wp:positionV relativeFrom="paragraph">
              <wp:posOffset>103505</wp:posOffset>
            </wp:positionV>
            <wp:extent cx="605155" cy="437515"/>
            <wp:effectExtent l="0" t="0" r="4445" b="444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9"/>
                    <a:stretch>
                      <a:fillRect/>
                    </a:stretch>
                  </pic:blipFill>
                  <pic:spPr>
                    <a:xfrm>
                      <a:off x="0" y="0"/>
                      <a:ext cx="605155" cy="43751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auto"/>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auto"/>
          <w:sz w:val="26"/>
          <w:szCs w:val="26"/>
        </w:rPr>
      </w:pPr>
      <w:r>
        <w:rPr>
          <w:rFonts w:hint="eastAsia"/>
          <w:b/>
          <w:bCs/>
          <w:color w:val="auto"/>
          <w:szCs w:val="21"/>
        </w:rPr>
        <w:t>1.  审核中发现的</w:t>
      </w:r>
      <w:r>
        <w:rPr>
          <w:rFonts w:hint="eastAsia"/>
          <w:b/>
          <w:color w:val="auto"/>
          <w:spacing w:val="-10"/>
          <w:szCs w:val="21"/>
        </w:rPr>
        <w:t>□</w:t>
      </w:r>
      <w:r>
        <w:rPr>
          <w:rFonts w:hint="eastAsia"/>
          <w:b/>
          <w:color w:val="auto"/>
          <w:szCs w:val="21"/>
        </w:rPr>
        <w:t>QMS(   )个一般不符合，(  )个严重不符合，</w:t>
      </w:r>
      <w:r>
        <w:rPr>
          <w:rFonts w:hint="eastAsia"/>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lang w:eastAsia="zh-CN"/>
        </w:rPr>
        <w:t>■</w:t>
      </w:r>
      <w:r>
        <w:rPr>
          <w:rFonts w:hint="eastAsia"/>
          <w:b/>
          <w:color w:val="auto"/>
          <w:szCs w:val="21"/>
        </w:rPr>
        <w:t xml:space="preserve">EMS(  </w:t>
      </w:r>
      <w:r>
        <w:rPr>
          <w:rFonts w:hint="eastAsia"/>
          <w:b/>
          <w:color w:val="auto"/>
          <w:szCs w:val="21"/>
          <w:lang w:val="en-US" w:eastAsia="zh-CN"/>
        </w:rPr>
        <w:t>1</w:t>
      </w:r>
      <w:r>
        <w:rPr>
          <w:rFonts w:hint="eastAsia"/>
          <w:b/>
          <w:color w:val="auto"/>
          <w:szCs w:val="21"/>
        </w:rPr>
        <w:t xml:space="preserve"> )个一般不符合，(</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lang w:eastAsia="zh-CN"/>
        </w:rPr>
        <w:t>■</w:t>
      </w:r>
      <w:r>
        <w:rPr>
          <w:rFonts w:hint="eastAsia"/>
          <w:b/>
          <w:color w:val="auto"/>
          <w:szCs w:val="21"/>
        </w:rPr>
        <w:t xml:space="preserve">OHSMS(  </w:t>
      </w:r>
      <w:r>
        <w:rPr>
          <w:rFonts w:hint="eastAsia"/>
          <w:b/>
          <w:color w:val="auto"/>
          <w:szCs w:val="21"/>
          <w:lang w:val="en-US" w:eastAsia="zh-CN"/>
        </w:rPr>
        <w:t>1</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99200" behindDoc="0" locked="0" layoutInCell="1" allowOverlap="1">
            <wp:simplePos x="0" y="0"/>
            <wp:positionH relativeFrom="column">
              <wp:posOffset>1006475</wp:posOffset>
            </wp:positionH>
            <wp:positionV relativeFrom="paragraph">
              <wp:posOffset>148590</wp:posOffset>
            </wp:positionV>
            <wp:extent cx="363855" cy="377190"/>
            <wp:effectExtent l="0" t="0" r="1905" b="3810"/>
            <wp:wrapNone/>
            <wp:docPr id="7" name="图片 7"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19-09-04 21.08.47.jpg"/>
                    <pic:cNvPicPr>
                      <a:picLocks noChangeAspect="1"/>
                    </pic:cNvPicPr>
                  </pic:nvPicPr>
                  <pic:blipFill>
                    <a:blip r:embed="rId6"/>
                    <a:stretch>
                      <a:fillRect/>
                    </a:stretch>
                  </pic:blipFill>
                  <pic:spPr>
                    <a:xfrm>
                      <a:off x="0" y="0"/>
                      <a:ext cx="363855" cy="37719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1  </w:t>
      </w:r>
      <w:r>
        <w:rPr>
          <w:rFonts w:hint="eastAsia"/>
          <w:b/>
          <w:color w:val="000000" w:themeColor="text1"/>
          <w:szCs w:val="21"/>
        </w:rPr>
        <w:t>月</w:t>
      </w:r>
      <w:r>
        <w:rPr>
          <w:rFonts w:hint="eastAsia"/>
          <w:b/>
          <w:color w:val="000000" w:themeColor="text1"/>
          <w:szCs w:val="21"/>
          <w:lang w:val="en-US" w:eastAsia="zh-CN"/>
        </w:rPr>
        <w:t xml:space="preserve">  4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rFonts w:hint="eastAsia" w:eastAsia="宋体"/>
          <w:b/>
          <w:color w:val="000000" w:themeColor="text1"/>
          <w:szCs w:val="21"/>
          <w:u w:val="single"/>
          <w:lang w:eastAsia="zh-CN"/>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0DDA"/>
    <w:multiLevelType w:val="singleLevel"/>
    <w:tmpl w:val="0AD60DDA"/>
    <w:lvl w:ilvl="0" w:tentative="0">
      <w:start w:val="4"/>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B55451"/>
    <w:rsid w:val="316E5567"/>
    <w:rsid w:val="48B54358"/>
    <w:rsid w:val="53507E33"/>
    <w:rsid w:val="67E61112"/>
    <w:rsid w:val="75577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2021-01-02T14:11:06Z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