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rFonts w:hint="eastAsia"/>
          <w:sz w:val="24"/>
          <w:szCs w:val="24"/>
          <w:lang w:val="en-US" w:eastAsia="zh-CN"/>
        </w:rPr>
      </w:pPr>
      <w:r>
        <w:rPr>
          <w:rFonts w:hint="eastAsia"/>
          <w:sz w:val="24"/>
          <w:szCs w:val="24"/>
        </w:rPr>
        <w:t>受审核部门：管理层、</w:t>
      </w:r>
      <w:r>
        <w:rPr>
          <w:rFonts w:hint="eastAsia"/>
          <w:sz w:val="24"/>
          <w:szCs w:val="24"/>
          <w:lang w:eastAsia="zh-CN"/>
        </w:rPr>
        <w:t>办公室</w:t>
      </w:r>
      <w:r>
        <w:rPr>
          <w:rFonts w:hint="eastAsia"/>
          <w:sz w:val="24"/>
          <w:szCs w:val="24"/>
        </w:rPr>
        <w:t>、</w:t>
      </w:r>
      <w:r>
        <w:rPr>
          <w:rFonts w:hint="eastAsia"/>
          <w:sz w:val="24"/>
          <w:szCs w:val="24"/>
          <w:lang w:eastAsia="zh-CN"/>
        </w:rPr>
        <w:t>销售部</w:t>
      </w:r>
      <w:r>
        <w:rPr>
          <w:rFonts w:hint="eastAsia"/>
          <w:sz w:val="24"/>
          <w:szCs w:val="24"/>
          <w:lang w:val="en-US" w:eastAsia="zh-CN"/>
        </w:rPr>
        <w:t xml:space="preserve">    </w:t>
      </w:r>
    </w:p>
    <w:p>
      <w:pPr>
        <w:spacing w:line="480" w:lineRule="exact"/>
        <w:jc w:val="left"/>
        <w:rPr>
          <w:rFonts w:hint="eastAsia" w:ascii="隶书" w:hAnsi="宋体" w:eastAsia="宋体"/>
          <w:bCs/>
          <w:color w:val="000000"/>
          <w:sz w:val="36"/>
          <w:szCs w:val="36"/>
          <w:lang w:eastAsia="zh-CN"/>
        </w:rPr>
      </w:pPr>
      <w:r>
        <w:rPr>
          <w:rFonts w:hint="eastAsia"/>
          <w:sz w:val="24"/>
          <w:szCs w:val="24"/>
        </w:rPr>
        <w:t>陪同人员：</w:t>
      </w:r>
      <w:r>
        <w:rPr>
          <w:rFonts w:hint="eastAsia"/>
          <w:sz w:val="24"/>
          <w:szCs w:val="24"/>
          <w:lang w:val="en-US" w:eastAsia="zh-CN"/>
        </w:rPr>
        <w:t xml:space="preserve">李宏，  </w:t>
      </w:r>
      <w:r>
        <w:rPr>
          <w:rFonts w:hint="eastAsia"/>
          <w:sz w:val="24"/>
          <w:szCs w:val="24"/>
        </w:rPr>
        <w:t>审核员：</w:t>
      </w:r>
      <w:r>
        <w:rPr>
          <w:rFonts w:hint="eastAsia"/>
          <w:sz w:val="24"/>
          <w:szCs w:val="24"/>
          <w:lang w:eastAsia="zh-CN"/>
        </w:rPr>
        <w:t>杨珍全，</w:t>
      </w:r>
      <w:r>
        <w:rPr>
          <w:rFonts w:hint="eastAsia"/>
          <w:sz w:val="24"/>
          <w:szCs w:val="24"/>
          <w:lang w:val="en-US" w:eastAsia="zh-CN"/>
        </w:rPr>
        <w:t xml:space="preserve">   </w:t>
      </w:r>
      <w:r>
        <w:rPr>
          <w:rFonts w:hint="eastAsia"/>
          <w:sz w:val="24"/>
          <w:szCs w:val="24"/>
        </w:rPr>
        <w:t>审核时间：2020年</w:t>
      </w:r>
      <w:r>
        <w:rPr>
          <w:rFonts w:hint="eastAsia"/>
          <w:sz w:val="24"/>
          <w:szCs w:val="24"/>
          <w:lang w:val="en-US" w:eastAsia="zh-CN"/>
        </w:rPr>
        <w:t>12</w:t>
      </w:r>
      <w:r>
        <w:rPr>
          <w:rFonts w:hint="eastAsia"/>
          <w:sz w:val="24"/>
          <w:szCs w:val="24"/>
        </w:rPr>
        <w:t>月</w:t>
      </w:r>
      <w:r>
        <w:rPr>
          <w:rFonts w:hint="eastAsia"/>
          <w:sz w:val="24"/>
          <w:szCs w:val="24"/>
          <w:lang w:val="en-US" w:eastAsia="zh-CN"/>
        </w:rPr>
        <w:t>28</w:t>
      </w:r>
      <w:r>
        <w:rPr>
          <w:rFonts w:hint="eastAsia"/>
          <w:sz w:val="24"/>
          <w:szCs w:val="24"/>
        </w:rPr>
        <w:t>日</w:t>
      </w:r>
    </w:p>
    <w:p>
      <w:pPr>
        <w:spacing w:line="480" w:lineRule="exact"/>
        <w:jc w:val="center"/>
        <w:rPr>
          <w:rFonts w:hint="eastAsia" w:ascii="隶书" w:hAnsi="宋体" w:eastAsia="隶书"/>
          <w:bCs/>
          <w:color w:val="000000"/>
          <w:sz w:val="36"/>
          <w:szCs w:val="36"/>
        </w:rPr>
      </w:pPr>
    </w:p>
    <w:tbl>
      <w:tblPr>
        <w:tblStyle w:val="10"/>
        <w:tblW w:w="1491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134"/>
        <w:gridCol w:w="1356"/>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231" w:type="dxa"/>
            <w:gridSpan w:val="3"/>
            <w:shd w:val="clear" w:color="auto" w:fill="E6E6E6"/>
            <w:vAlign w:val="center"/>
          </w:tcPr>
          <w:p>
            <w:pPr>
              <w:spacing w:line="0" w:lineRule="atLeast"/>
              <w:jc w:val="center"/>
              <w:rPr>
                <w:rFonts w:hint="default" w:ascii="宋体" w:hAnsi="宋体" w:eastAsia="宋体"/>
                <w:szCs w:val="21"/>
                <w:lang w:val="en-US" w:eastAsia="zh-CN"/>
              </w:rPr>
            </w:pPr>
            <w:r>
              <w:rPr>
                <w:rFonts w:hint="eastAsia" w:ascii="宋体" w:hAnsi="宋体"/>
                <w:szCs w:val="21"/>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134"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356"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741"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9134" w:type="dxa"/>
          </w:tcPr>
          <w:p>
            <w:pPr>
              <w:rPr>
                <w:rFonts w:hint="eastAsia"/>
                <w:szCs w:val="21"/>
              </w:rPr>
            </w:pPr>
            <w:r>
              <w:rPr>
                <w:rFonts w:hint="eastAsia" w:ascii="宋体" w:hAnsi="宋体" w:cs="宋体"/>
                <w:b w:val="0"/>
                <w:bCs w:val="0"/>
                <w:sz w:val="24"/>
                <w:szCs w:val="24"/>
                <w:lang w:val="en-US" w:eastAsia="zh-CN"/>
              </w:rPr>
              <w:t xml:space="preserve"> </w:t>
            </w:r>
            <w:r>
              <w:rPr>
                <w:rFonts w:hint="eastAsia" w:ascii="Times New Roman" w:hAnsi="Times New Roman" w:cs="Times New Roman"/>
                <w:szCs w:val="21"/>
              </w:rPr>
              <w:t>成都万方达农牧科技有限公司成立于2011年07月11日，注册地位于四川省成都市武侯区佳灵路20号1栋12层78号，法定代表人为卢先万。</w:t>
            </w:r>
            <w:r>
              <w:rPr>
                <w:rFonts w:hint="eastAsia" w:ascii="Times New Roman" w:hAnsi="Times New Roman" w:cs="Times New Roman"/>
                <w:szCs w:val="21"/>
                <w:lang w:eastAsia="zh-CN"/>
              </w:rPr>
              <w:t>从事</w:t>
            </w:r>
            <w:r>
              <w:rPr>
                <w:rFonts w:hint="eastAsia" w:ascii="宋体" w:hAnsi="宋体"/>
                <w:szCs w:val="21"/>
              </w:rPr>
              <w:t>预包装食品的销售(限许可范围内）</w:t>
            </w:r>
            <w:r>
              <w:rPr>
                <w:rFonts w:hint="eastAsia" w:ascii="宋体" w:hAnsi="宋体"/>
                <w:szCs w:val="21"/>
                <w:lang w:eastAsia="zh-CN"/>
              </w:rPr>
              <w:t>，主要销售</w:t>
            </w:r>
            <w:r>
              <w:rPr>
                <w:rFonts w:hint="eastAsia" w:ascii="宋体" w:cs="宋体"/>
                <w:color w:val="000000"/>
                <w:szCs w:val="21"/>
                <w:lang w:val="en-US" w:eastAsia="zh-CN"/>
              </w:rPr>
              <w:t>汤圆</w:t>
            </w:r>
            <w:r>
              <w:rPr>
                <w:rFonts w:hint="eastAsia" w:ascii="宋体" w:cs="宋体"/>
                <w:color w:val="000000"/>
                <w:szCs w:val="21"/>
              </w:rPr>
              <w:t>、</w:t>
            </w:r>
            <w:r>
              <w:rPr>
                <w:rFonts w:hint="eastAsia" w:ascii="宋体" w:cs="宋体"/>
                <w:color w:val="000000"/>
                <w:szCs w:val="21"/>
                <w:lang w:val="en-US" w:eastAsia="zh-CN"/>
              </w:rPr>
              <w:t>发糕</w:t>
            </w:r>
            <w:r>
              <w:rPr>
                <w:rFonts w:hint="eastAsia" w:ascii="宋体" w:cs="宋体"/>
                <w:color w:val="000000"/>
                <w:szCs w:val="21"/>
              </w:rPr>
              <w:t>、</w:t>
            </w:r>
            <w:r>
              <w:rPr>
                <w:rFonts w:hint="eastAsia" w:ascii="宋体" w:cs="宋体"/>
                <w:color w:val="000000"/>
                <w:szCs w:val="21"/>
                <w:lang w:val="en-US" w:eastAsia="zh-CN"/>
              </w:rPr>
              <w:t>水饺</w:t>
            </w:r>
            <w:r>
              <w:rPr>
                <w:rFonts w:hint="eastAsia" w:ascii="宋体" w:cs="宋体"/>
                <w:color w:val="000000"/>
                <w:szCs w:val="21"/>
                <w:lang w:eastAsia="zh-CN"/>
              </w:rPr>
              <w:t>、</w:t>
            </w:r>
            <w:r>
              <w:rPr>
                <w:rFonts w:hint="eastAsia" w:ascii="宋体" w:cs="宋体"/>
                <w:color w:val="000000"/>
                <w:szCs w:val="21"/>
                <w:lang w:val="en-US" w:eastAsia="zh-CN"/>
              </w:rPr>
              <w:t>鸡肉、鸭肉</w:t>
            </w:r>
            <w:r>
              <w:rPr>
                <w:rFonts w:hint="eastAsia" w:ascii="宋体" w:cs="宋体"/>
                <w:color w:val="000000"/>
                <w:szCs w:val="21"/>
                <w:lang w:eastAsia="zh-CN"/>
              </w:rPr>
              <w:t>等</w:t>
            </w:r>
            <w:r>
              <w:rPr>
                <w:rFonts w:hint="eastAsia"/>
                <w:szCs w:val="21"/>
              </w:rPr>
              <w:t>产品。现有员工</w:t>
            </w:r>
            <w:r>
              <w:rPr>
                <w:rFonts w:hint="eastAsia"/>
                <w:szCs w:val="21"/>
                <w:lang w:val="en-US" w:eastAsia="zh-CN"/>
              </w:rPr>
              <w:t>13</w:t>
            </w:r>
            <w:r>
              <w:rPr>
                <w:rFonts w:hint="eastAsia"/>
                <w:szCs w:val="21"/>
              </w:rPr>
              <w:t>人，目前经营情况良好。</w:t>
            </w:r>
          </w:p>
          <w:p>
            <w:pPr>
              <w:pStyle w:val="13"/>
              <w:rPr>
                <w:rFonts w:hint="eastAsia"/>
              </w:rPr>
            </w:pPr>
          </w:p>
          <w:p>
            <w:pPr>
              <w:spacing w:line="0" w:lineRule="atLeast"/>
              <w:ind w:firstLine="420" w:firstLineChars="200"/>
              <w:jc w:val="left"/>
              <w:rPr>
                <w:rFonts w:ascii="宋体" w:hAnsi="宋体"/>
                <w:szCs w:val="21"/>
              </w:rPr>
            </w:pPr>
            <w:r>
              <w:rPr>
                <w:rFonts w:hint="eastAsia" w:ascii="宋体" w:hAnsi="宋体"/>
                <w:szCs w:val="21"/>
              </w:rPr>
              <w:t>查见企业营业执照副本，企业经营范围包含认证产品，具备有效资格，详见复印件。</w:t>
            </w:r>
          </w:p>
          <w:p>
            <w:pPr>
              <w:pStyle w:val="13"/>
              <w:rPr>
                <w:rFonts w:hint="eastAsia"/>
              </w:rPr>
            </w:pPr>
          </w:p>
          <w:p>
            <w:pPr>
              <w:spacing w:line="400" w:lineRule="exact"/>
              <w:ind w:firstLine="420" w:firstLineChars="200"/>
              <w:jc w:val="left"/>
              <w:rPr>
                <w:rFonts w:ascii="宋体" w:hAnsi="宋体"/>
                <w:szCs w:val="21"/>
              </w:rPr>
            </w:pPr>
            <w:r>
              <w:rPr>
                <w:rFonts w:hint="eastAsia" w:ascii="宋体" w:hAnsi="宋体"/>
                <w:szCs w:val="21"/>
              </w:rPr>
              <w:t>该公司目前成立了</w:t>
            </w:r>
            <w:r>
              <w:rPr>
                <w:rFonts w:hint="eastAsia" w:ascii="宋体" w:hAnsi="宋体"/>
                <w:szCs w:val="21"/>
                <w:lang w:eastAsia="zh-CN"/>
              </w:rPr>
              <w:t>三</w:t>
            </w:r>
            <w:r>
              <w:rPr>
                <w:rFonts w:hint="eastAsia" w:ascii="宋体" w:hAnsi="宋体"/>
                <w:szCs w:val="21"/>
              </w:rPr>
              <w:t>个部门：</w:t>
            </w:r>
            <w:r>
              <w:rPr>
                <w:rFonts w:hint="eastAsia" w:ascii="宋体" w:hAnsi="宋体"/>
                <w:szCs w:val="21"/>
                <w:lang w:eastAsia="zh-CN"/>
              </w:rPr>
              <w:t>办公室</w:t>
            </w:r>
            <w:r>
              <w:rPr>
                <w:rFonts w:hint="eastAsia" w:ascii="宋体" w:hAnsi="宋体"/>
                <w:szCs w:val="21"/>
              </w:rPr>
              <w:t>、销售部、财务部。</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240" w:lineRule="atLeast"/>
              <w:ind w:left="630" w:hanging="630" w:hangingChars="300"/>
              <w:jc w:val="left"/>
              <w:rPr>
                <w:rFonts w:ascii="宋体" w:hAnsi="宋体"/>
                <w:szCs w:val="21"/>
              </w:rPr>
            </w:pPr>
            <w:r>
              <w:rPr>
                <w:rFonts w:hint="eastAsia" w:ascii="宋体" w:hAnsi="宋体"/>
                <w:szCs w:val="21"/>
              </w:rPr>
              <w:t>核实：</w:t>
            </w:r>
            <w:r>
              <w:rPr>
                <w:rFonts w:hint="eastAsia"/>
                <w:color w:val="000000"/>
                <w:szCs w:val="21"/>
                <w:lang w:val="de-DE"/>
              </w:rPr>
              <w:t>生产经营地址：</w:t>
            </w:r>
            <w:bookmarkStart w:id="0" w:name="生产地址"/>
            <w:r>
              <w:t>四川省成都市武侯区佳灵路20号1栋12层78号</w:t>
            </w:r>
            <w:bookmarkEnd w:id="0"/>
            <w:r>
              <w:rPr>
                <w:rFonts w:hint="eastAsia"/>
                <w:color w:val="000000"/>
                <w:szCs w:val="21"/>
                <w:lang w:val="de-DE"/>
              </w:rPr>
              <w:t>，与</w:t>
            </w:r>
            <w:r>
              <w:rPr>
                <w:rFonts w:hint="eastAsia" w:ascii="宋体" w:hAnsi="宋体"/>
                <w:szCs w:val="21"/>
              </w:rPr>
              <w:t>任务书一致。</w:t>
            </w:r>
          </w:p>
          <w:p>
            <w:pPr>
              <w:spacing w:line="400" w:lineRule="exact"/>
              <w:ind w:firstLine="420" w:firstLineChars="200"/>
              <w:jc w:val="left"/>
              <w:rPr>
                <w:rFonts w:hint="eastAsia" w:ascii="宋体" w:hAnsi="宋体"/>
                <w:szCs w:val="21"/>
                <w:lang w:val="en-US" w:eastAsia="zh-CN"/>
              </w:rPr>
            </w:pPr>
            <w:r>
              <w:rPr>
                <w:rFonts w:hint="eastAsia" w:ascii="宋体" w:hAnsi="宋体"/>
                <w:szCs w:val="21"/>
              </w:rPr>
              <w:t>经确认，认证范围</w:t>
            </w:r>
            <w:r>
              <w:rPr>
                <w:rFonts w:hint="eastAsia" w:ascii="宋体" w:hAnsi="宋体"/>
                <w:szCs w:val="21"/>
                <w:lang w:val="en-US" w:eastAsia="zh-CN"/>
              </w:rPr>
              <w:t>有变更：</w:t>
            </w:r>
          </w:p>
          <w:p>
            <w:pPr>
              <w:spacing w:line="400" w:lineRule="exact"/>
              <w:jc w:val="left"/>
              <w:rPr>
                <w:rFonts w:hint="default" w:ascii="宋体" w:hAnsi="宋体"/>
                <w:szCs w:val="21"/>
                <w:lang w:val="en-US"/>
              </w:rPr>
            </w:pPr>
            <w:r>
              <w:rPr>
                <w:rFonts w:hint="eastAsia" w:ascii="宋体" w:hAnsi="宋体"/>
                <w:szCs w:val="21"/>
                <w:lang w:val="en-US" w:eastAsia="zh-CN"/>
              </w:rPr>
              <w:t>原认证范围：</w:t>
            </w:r>
          </w:p>
          <w:p>
            <w:pPr>
              <w:rPr>
                <w:rFonts w:hint="eastAsia" w:eastAsia="宋体"/>
                <w:color w:val="000000"/>
                <w:szCs w:val="21"/>
                <w:lang w:eastAsia="zh-CN"/>
              </w:rPr>
            </w:pPr>
            <w:bookmarkStart w:id="1" w:name="审核范围"/>
            <w:r>
              <w:rPr>
                <w:rFonts w:hint="eastAsia" w:ascii="宋体" w:hAnsi="宋体"/>
                <w:szCs w:val="21"/>
              </w:rPr>
              <w:t>Q</w:t>
            </w:r>
            <w:r>
              <w:rPr>
                <w:rFonts w:hint="eastAsia" w:ascii="宋体" w:hAnsi="宋体"/>
                <w:szCs w:val="21"/>
                <w:lang w:val="en-US" w:eastAsia="zh-CN"/>
              </w:rPr>
              <w:t>MS</w:t>
            </w:r>
            <w:r>
              <w:rPr>
                <w:rFonts w:hint="eastAsia" w:ascii="宋体" w:hAnsi="宋体"/>
                <w:szCs w:val="21"/>
              </w:rPr>
              <w:t>：预包装食品的销售(限许可范围内）</w:t>
            </w:r>
            <w:r>
              <w:rPr>
                <w:rFonts w:hint="eastAsia" w:ascii="宋体" w:hAnsi="宋体"/>
                <w:szCs w:val="21"/>
                <w:lang w:eastAsia="zh-CN"/>
              </w:rPr>
              <w:t>。</w:t>
            </w:r>
          </w:p>
          <w:p>
            <w:pPr>
              <w:rPr>
                <w:rFonts w:hint="eastAsia" w:ascii="宋体" w:hAnsi="宋体" w:eastAsia="宋体"/>
                <w:szCs w:val="21"/>
                <w:lang w:eastAsia="zh-CN"/>
              </w:rPr>
            </w:pPr>
            <w:r>
              <w:rPr>
                <w:rFonts w:hint="eastAsia" w:ascii="宋体" w:hAnsi="宋体"/>
                <w:szCs w:val="21"/>
              </w:rPr>
              <w:t>E</w:t>
            </w:r>
            <w:r>
              <w:rPr>
                <w:rFonts w:hint="eastAsia" w:ascii="宋体" w:hAnsi="宋体"/>
                <w:szCs w:val="21"/>
                <w:lang w:val="en-US" w:eastAsia="zh-CN"/>
              </w:rPr>
              <w:t>MS</w:t>
            </w:r>
            <w:r>
              <w:rPr>
                <w:rFonts w:hint="eastAsia" w:ascii="宋体" w:hAnsi="宋体"/>
                <w:szCs w:val="21"/>
              </w:rPr>
              <w:t>：预包装食品的销售(限许可范围内）所涉及场所的相关环境管理活动</w:t>
            </w:r>
            <w:r>
              <w:rPr>
                <w:rFonts w:hint="eastAsia" w:ascii="宋体" w:hAnsi="宋体"/>
                <w:szCs w:val="21"/>
                <w:lang w:eastAsia="zh-CN"/>
              </w:rPr>
              <w:t>。</w:t>
            </w:r>
          </w:p>
          <w:p>
            <w:pPr>
              <w:rPr>
                <w:rFonts w:hint="eastAsia" w:ascii="宋体" w:hAnsi="宋体"/>
                <w:szCs w:val="21"/>
                <w:lang w:eastAsia="zh-CN"/>
              </w:rPr>
            </w:pPr>
            <w:r>
              <w:rPr>
                <w:rFonts w:hint="eastAsia" w:ascii="宋体" w:hAnsi="宋体"/>
                <w:szCs w:val="21"/>
              </w:rPr>
              <w:t>O</w:t>
            </w:r>
            <w:r>
              <w:rPr>
                <w:rFonts w:hint="eastAsia" w:ascii="宋体" w:hAnsi="宋体"/>
                <w:szCs w:val="21"/>
                <w:lang w:val="en-US" w:eastAsia="zh-CN"/>
              </w:rPr>
              <w:t>HSMS</w:t>
            </w:r>
            <w:r>
              <w:rPr>
                <w:rFonts w:hint="eastAsia" w:ascii="宋体" w:hAnsi="宋体"/>
                <w:szCs w:val="21"/>
              </w:rPr>
              <w:t>：预包装食品的销售(限许可范围内）所涉及场所的相关职业健康安全管理活动</w:t>
            </w:r>
            <w:bookmarkEnd w:id="1"/>
            <w:r>
              <w:rPr>
                <w:rFonts w:hint="eastAsia" w:ascii="宋体" w:hAnsi="宋体"/>
                <w:szCs w:val="21"/>
                <w:lang w:eastAsia="zh-CN"/>
              </w:rPr>
              <w:t>。</w:t>
            </w:r>
          </w:p>
          <w:p>
            <w:pPr>
              <w:spacing w:line="400" w:lineRule="exact"/>
              <w:jc w:val="left"/>
              <w:rPr>
                <w:rFonts w:hint="eastAsia" w:ascii="宋体" w:hAnsi="宋体"/>
                <w:szCs w:val="21"/>
                <w:lang w:val="en-US" w:eastAsia="zh-CN"/>
              </w:rPr>
            </w:pPr>
            <w:r>
              <w:rPr>
                <w:rFonts w:hint="eastAsia" w:ascii="宋体" w:hAnsi="宋体"/>
                <w:szCs w:val="21"/>
                <w:lang w:val="en-US" w:eastAsia="zh-CN"/>
              </w:rPr>
              <w:t>现认证范围：</w:t>
            </w:r>
          </w:p>
          <w:p>
            <w:pPr>
              <w:rPr>
                <w:rFonts w:hint="eastAsia" w:ascii="宋体" w:hAnsi="宋体"/>
                <w:szCs w:val="21"/>
                <w:lang w:val="en-US" w:eastAsia="zh-CN"/>
              </w:rPr>
            </w:pPr>
            <w:r>
              <w:rPr>
                <w:rFonts w:hint="eastAsia" w:ascii="宋体" w:hAnsi="宋体"/>
                <w:szCs w:val="21"/>
                <w:lang w:val="en-US" w:eastAsia="zh-CN"/>
              </w:rPr>
              <w:t>QMS：预包装食品、农副产品的销售(限许可范围内）。</w:t>
            </w:r>
          </w:p>
          <w:p>
            <w:pPr>
              <w:rPr>
                <w:rFonts w:hint="eastAsia" w:ascii="宋体" w:hAnsi="宋体"/>
                <w:szCs w:val="21"/>
                <w:lang w:val="en-US" w:eastAsia="zh-CN"/>
              </w:rPr>
            </w:pPr>
            <w:r>
              <w:rPr>
                <w:rFonts w:hint="eastAsia" w:ascii="宋体" w:hAnsi="宋体"/>
                <w:szCs w:val="21"/>
                <w:lang w:val="en-US" w:eastAsia="zh-CN"/>
              </w:rPr>
              <w:t>EMS：预包装食品、农副产品的销售(限许可范围内）所涉及场所的相关环境管理活动。</w:t>
            </w:r>
          </w:p>
          <w:p>
            <w:pPr>
              <w:spacing w:line="400" w:lineRule="exact"/>
              <w:jc w:val="left"/>
              <w:rPr>
                <w:rFonts w:hint="eastAsia" w:ascii="宋体" w:hAnsi="宋体"/>
                <w:szCs w:val="21"/>
                <w:lang w:val="en-US" w:eastAsia="zh-CN"/>
              </w:rPr>
            </w:pPr>
            <w:r>
              <w:rPr>
                <w:rFonts w:hint="eastAsia" w:ascii="宋体" w:hAnsi="宋体"/>
                <w:szCs w:val="21"/>
                <w:lang w:val="en-US" w:eastAsia="zh-CN"/>
              </w:rPr>
              <w:t>OHSMS：预包装食品、农副产品的销售(限许可范围内）所涉及场所的相关职业健康安全管理活动。</w:t>
            </w:r>
          </w:p>
          <w:p>
            <w:pPr>
              <w:rPr>
                <w:rFonts w:hint="eastAsia" w:ascii="宋体" w:hAnsi="宋体"/>
                <w:szCs w:val="21"/>
              </w:rPr>
            </w:pPr>
          </w:p>
          <w:p>
            <w:pPr>
              <w:rPr>
                <w:rFonts w:ascii="宋体" w:hAnsi="宋体"/>
                <w:color w:val="FF0000"/>
                <w:szCs w:val="21"/>
              </w:rPr>
            </w:pPr>
            <w:r>
              <w:rPr>
                <w:rFonts w:hint="eastAsia" w:ascii="宋体" w:hAnsi="宋体"/>
                <w:szCs w:val="21"/>
              </w:rPr>
              <w:t xml:space="preserve"> </w:t>
            </w:r>
            <w:r>
              <w:rPr>
                <w:rFonts w:hint="eastAsia" w:ascii="宋体" w:hAnsi="宋体"/>
                <w:szCs w:val="21"/>
                <w:highlight w:val="none"/>
              </w:rPr>
              <w:t>询问，主要设备为</w:t>
            </w:r>
            <w:r>
              <w:rPr>
                <w:rFonts w:hint="eastAsia" w:ascii="宋体" w:hAnsi="宋体" w:cs="宋体"/>
                <w:color w:val="000000"/>
                <w:szCs w:val="21"/>
                <w:highlight w:val="none"/>
              </w:rPr>
              <w:t>运输车辆</w:t>
            </w:r>
            <w:r>
              <w:rPr>
                <w:rFonts w:hint="eastAsia" w:ascii="宋体" w:hAnsi="宋体"/>
                <w:szCs w:val="21"/>
                <w:highlight w:val="none"/>
                <w:lang w:val="en-US" w:eastAsia="zh-CN"/>
              </w:rPr>
              <w:t>和</w:t>
            </w:r>
            <w:r>
              <w:rPr>
                <w:rFonts w:hint="eastAsia" w:ascii="宋体" w:hAnsi="宋体" w:cs="宋体"/>
                <w:color w:val="000000"/>
                <w:szCs w:val="21"/>
                <w:highlight w:val="none"/>
              </w:rPr>
              <w:t>电脑及办公设备</w:t>
            </w:r>
            <w:r>
              <w:rPr>
                <w:rFonts w:hint="eastAsia" w:ascii="宋体" w:hAnsi="宋体"/>
                <w:szCs w:val="21"/>
                <w:highlight w:val="none"/>
              </w:rPr>
              <w:t>等</w:t>
            </w:r>
            <w:r>
              <w:rPr>
                <w:rFonts w:hint="eastAsia" w:ascii="宋体" w:hAnsi="宋体" w:cs="宋体"/>
                <w:kern w:val="0"/>
                <w:szCs w:val="21"/>
                <w:highlight w:val="none"/>
              </w:rPr>
              <w:t>。</w:t>
            </w:r>
          </w:p>
          <w:p>
            <w:pPr>
              <w:spacing w:line="400" w:lineRule="exact"/>
              <w:jc w:val="left"/>
              <w:rPr>
                <w:rFonts w:ascii="宋体" w:hAnsi="宋体"/>
                <w:szCs w:val="21"/>
              </w:rPr>
            </w:pPr>
            <w:r>
              <w:rPr>
                <w:rFonts w:hint="eastAsia" w:ascii="宋体" w:hAnsi="宋体"/>
                <w:szCs w:val="21"/>
              </w:rPr>
              <w:t>关键过程：采购、销售为关键过程</w:t>
            </w:r>
            <w:r>
              <w:rPr>
                <w:rFonts w:hint="eastAsia" w:ascii="宋体" w:hAnsi="宋体"/>
                <w:szCs w:val="21"/>
                <w:lang w:eastAsia="zh-CN"/>
              </w:rPr>
              <w:t>，</w:t>
            </w:r>
            <w:r>
              <w:rPr>
                <w:rFonts w:hint="eastAsia" w:ascii="宋体" w:hAnsi="宋体" w:cs="Times New Roman"/>
                <w:szCs w:val="21"/>
              </w:rPr>
              <w:t>需确认过程：销售服务。</w:t>
            </w:r>
          </w:p>
          <w:p>
            <w:pPr>
              <w:spacing w:line="400" w:lineRule="exact"/>
              <w:jc w:val="left"/>
              <w:rPr>
                <w:rFonts w:ascii="宋体" w:hAnsi="宋体" w:cs="宋体"/>
                <w:szCs w:val="21"/>
              </w:rPr>
            </w:pPr>
            <w:r>
              <w:rPr>
                <w:rFonts w:hint="eastAsia" w:ascii="宋体" w:hAnsi="宋体" w:cs="宋体"/>
                <w:szCs w:val="21"/>
              </w:rPr>
              <w:t>查体系运行时间：20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w:t>
            </w:r>
          </w:p>
          <w:p>
            <w:pPr>
              <w:spacing w:line="400" w:lineRule="exact"/>
              <w:ind w:firstLine="420" w:firstLineChars="200"/>
              <w:jc w:val="left"/>
              <w:rPr>
                <w:rFonts w:ascii="宋体" w:hAnsi="宋体"/>
                <w:szCs w:val="21"/>
              </w:rPr>
            </w:pPr>
            <w:r>
              <w:rPr>
                <w:rFonts w:hint="eastAsia" w:ascii="宋体" w:hAnsi="宋体"/>
                <w:szCs w:val="21"/>
              </w:rPr>
              <w:t>组织实际与管理体系文件化信息描述基本一致。有管理层、</w:t>
            </w:r>
            <w:r>
              <w:rPr>
                <w:rFonts w:hint="eastAsia" w:ascii="宋体" w:hAnsi="宋体"/>
                <w:szCs w:val="21"/>
                <w:lang w:eastAsia="zh-CN"/>
              </w:rPr>
              <w:t>办公室</w:t>
            </w:r>
            <w:r>
              <w:rPr>
                <w:rFonts w:hint="eastAsia" w:ascii="宋体" w:hAnsi="宋体"/>
                <w:szCs w:val="21"/>
              </w:rPr>
              <w:t>、销售部</w:t>
            </w:r>
            <w:r>
              <w:rPr>
                <w:rFonts w:hint="eastAsia" w:ascii="宋体" w:hAnsi="宋体"/>
                <w:szCs w:val="21"/>
                <w:lang w:eastAsia="zh-CN"/>
              </w:rPr>
              <w:t>、</w:t>
            </w:r>
            <w:r>
              <w:rPr>
                <w:rFonts w:hint="eastAsia" w:ascii="宋体" w:hAnsi="宋体"/>
                <w:szCs w:val="21"/>
              </w:rPr>
              <w:t>财务部。</w:t>
            </w: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rPr>
              <w:t>质量</w:t>
            </w:r>
            <w:r>
              <w:rPr>
                <w:rFonts w:ascii="宋体" w:hAnsi="宋体"/>
                <w:kern w:val="44"/>
                <w:szCs w:val="21"/>
              </w:rPr>
              <w:t>手册</w:t>
            </w:r>
            <w:r>
              <w:rPr>
                <w:rFonts w:hint="eastAsia" w:ascii="宋体" w:hAnsi="宋体"/>
                <w:kern w:val="44"/>
                <w:szCs w:val="21"/>
              </w:rPr>
              <w:t>，程序文件2</w:t>
            </w:r>
            <w:r>
              <w:rPr>
                <w:rFonts w:hint="eastAsia" w:ascii="宋体" w:hAnsi="宋体"/>
                <w:kern w:val="44"/>
                <w:szCs w:val="21"/>
                <w:lang w:val="en-US" w:eastAsia="zh-CN"/>
              </w:rPr>
              <w:t>7</w:t>
            </w:r>
            <w:r>
              <w:rPr>
                <w:rFonts w:hint="eastAsia" w:ascii="宋体" w:hAnsi="宋体"/>
                <w:kern w:val="44"/>
                <w:szCs w:val="21"/>
              </w:rPr>
              <w:t>个。</w:t>
            </w:r>
          </w:p>
        </w:tc>
        <w:tc>
          <w:tcPr>
            <w:tcW w:w="1356"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741"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9134"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质量、环境、职业健康安全方针：</w:t>
            </w:r>
          </w:p>
          <w:p>
            <w:pPr>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为顾客提供满意的高质量产品以及优质的服务；推行环保销售，实施污染预防；提倡健康人生、保证风险预控</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w:t>
            </w:r>
          </w:p>
          <w:p>
            <w:pPr>
              <w:spacing w:line="360"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质量、环境、职业健康安全目标 </w:t>
            </w:r>
          </w:p>
          <w:p>
            <w:pPr>
              <w:tabs>
                <w:tab w:val="left" w:pos="3731"/>
              </w:tabs>
              <w:adjustRightInd w:val="0"/>
              <w:snapToGrid w:val="0"/>
              <w:spacing w:line="312" w:lineRule="auto"/>
              <w:rPr>
                <w:rFonts w:ascii="宋体" w:hAnsi="宋体"/>
                <w:color w:val="000000"/>
                <w:sz w:val="21"/>
                <w:szCs w:val="21"/>
              </w:rPr>
            </w:pPr>
            <w:r>
              <w:rPr>
                <w:rFonts w:hint="eastAsia" w:ascii="宋体" w:hAnsi="宋体"/>
                <w:color w:val="000000"/>
                <w:sz w:val="21"/>
                <w:szCs w:val="21"/>
              </w:rPr>
              <w:t>1) 产品交付合格率100%； </w:t>
            </w:r>
          </w:p>
          <w:p>
            <w:pPr>
              <w:tabs>
                <w:tab w:val="left" w:pos="3731"/>
              </w:tabs>
              <w:adjustRightInd w:val="0"/>
              <w:snapToGrid w:val="0"/>
              <w:spacing w:line="312" w:lineRule="auto"/>
              <w:rPr>
                <w:rFonts w:ascii="宋体" w:hAnsi="宋体"/>
                <w:color w:val="000000"/>
                <w:sz w:val="21"/>
                <w:szCs w:val="21"/>
              </w:rPr>
            </w:pPr>
            <w:r>
              <w:rPr>
                <w:rFonts w:hint="eastAsia" w:ascii="宋体" w:hAnsi="宋体"/>
                <w:color w:val="000000"/>
                <w:sz w:val="21"/>
                <w:szCs w:val="21"/>
              </w:rPr>
              <w:t>2) 顾客满意率≥9</w:t>
            </w:r>
            <w:r>
              <w:rPr>
                <w:rFonts w:hint="eastAsia" w:ascii="宋体" w:hAnsi="宋体"/>
                <w:color w:val="000000"/>
                <w:sz w:val="21"/>
                <w:szCs w:val="21"/>
                <w:lang w:val="en-US" w:eastAsia="zh-CN"/>
              </w:rPr>
              <w:t>0</w:t>
            </w:r>
            <w:r>
              <w:rPr>
                <w:rFonts w:hint="eastAsia" w:ascii="宋体" w:hAnsi="宋体"/>
                <w:color w:val="000000"/>
                <w:sz w:val="21"/>
                <w:szCs w:val="21"/>
              </w:rPr>
              <w:t>分； </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rPr>
              <w:t>3） 固废（含危废）合规处置率100% ；</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rPr>
              <w:t>4) 火灾事故</w:t>
            </w:r>
            <w:r>
              <w:rPr>
                <w:rFonts w:hint="eastAsia" w:ascii="宋体" w:hAnsi="宋体"/>
                <w:color w:val="000000"/>
                <w:sz w:val="21"/>
                <w:szCs w:val="21"/>
                <w:lang w:val="en-US" w:eastAsia="zh-CN"/>
              </w:rPr>
              <w:t>次数</w:t>
            </w:r>
            <w:r>
              <w:rPr>
                <w:rFonts w:hint="eastAsia" w:ascii="宋体" w:hAnsi="宋体"/>
                <w:color w:val="000000"/>
                <w:sz w:val="21"/>
                <w:szCs w:val="21"/>
              </w:rPr>
              <w:t>为0；</w:t>
            </w:r>
          </w:p>
          <w:p>
            <w:pPr>
              <w:tabs>
                <w:tab w:val="left" w:pos="3731"/>
              </w:tabs>
              <w:adjustRightInd w:val="0"/>
              <w:snapToGrid w:val="0"/>
              <w:spacing w:line="312" w:lineRule="auto"/>
              <w:rPr>
                <w:rFonts w:hint="eastAsia" w:ascii="宋体" w:hAnsi="宋体" w:eastAsia="宋体"/>
                <w:color w:val="000000"/>
                <w:sz w:val="21"/>
                <w:szCs w:val="21"/>
                <w:lang w:eastAsia="zh-CN"/>
              </w:rPr>
            </w:pPr>
            <w:r>
              <w:rPr>
                <w:rFonts w:hint="eastAsia" w:ascii="宋体" w:hAnsi="宋体"/>
                <w:color w:val="000000"/>
                <w:sz w:val="21"/>
                <w:szCs w:val="21"/>
              </w:rPr>
              <w:t>5) </w:t>
            </w:r>
            <w:r>
              <w:rPr>
                <w:rFonts w:hint="eastAsia" w:ascii="宋体" w:hAnsi="宋体"/>
                <w:color w:val="000000"/>
                <w:sz w:val="21"/>
                <w:szCs w:val="21"/>
                <w:lang w:val="en-US" w:eastAsia="zh-CN"/>
              </w:rPr>
              <w:t>意外</w:t>
            </w:r>
            <w:r>
              <w:rPr>
                <w:rFonts w:hint="eastAsia" w:ascii="宋体" w:hAnsi="宋体"/>
                <w:color w:val="000000"/>
                <w:sz w:val="21"/>
                <w:szCs w:val="21"/>
              </w:rPr>
              <w:t>事故</w:t>
            </w:r>
            <w:r>
              <w:rPr>
                <w:rFonts w:hint="eastAsia" w:ascii="宋体" w:hAnsi="宋体"/>
                <w:color w:val="000000"/>
                <w:sz w:val="21"/>
                <w:szCs w:val="21"/>
                <w:lang w:val="en-US" w:eastAsia="zh-CN"/>
              </w:rPr>
              <w:t>次数</w:t>
            </w:r>
            <w:r>
              <w:rPr>
                <w:rFonts w:hint="eastAsia" w:ascii="宋体" w:hAnsi="宋体"/>
                <w:color w:val="000000"/>
                <w:sz w:val="21"/>
                <w:szCs w:val="21"/>
              </w:rPr>
              <w:t>为0</w:t>
            </w:r>
            <w:r>
              <w:rPr>
                <w:rFonts w:hint="eastAsia" w:ascii="宋体" w:hAnsi="宋体"/>
                <w:color w:val="000000"/>
                <w:sz w:val="21"/>
                <w:szCs w:val="21"/>
                <w:lang w:eastAsia="zh-CN"/>
              </w:rPr>
              <w:t>。</w:t>
            </w:r>
          </w:p>
          <w:p>
            <w:pPr>
              <w:spacing w:line="360" w:lineRule="auto"/>
              <w:jc w:val="left"/>
              <w:rPr>
                <w:rFonts w:ascii="宋体" w:hAnsi="宋体"/>
                <w:szCs w:val="21"/>
              </w:rPr>
            </w:pPr>
            <w:r>
              <w:rPr>
                <w:rFonts w:hint="eastAsia" w:asciiTheme="minorEastAsia" w:hAnsiTheme="minorEastAsia" w:eastAsiaTheme="minorEastAsia" w:cstheme="minorEastAsia"/>
                <w:szCs w:val="21"/>
              </w:rPr>
              <w:t>拟定有管理方案和预案。</w:t>
            </w:r>
          </w:p>
        </w:tc>
        <w:tc>
          <w:tcPr>
            <w:tcW w:w="1356"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5.1;6.2</w:t>
            </w:r>
          </w:p>
          <w:p>
            <w:pPr>
              <w:spacing w:line="440" w:lineRule="exact"/>
              <w:jc w:val="center"/>
              <w:rPr>
                <w:rFonts w:ascii="宋体" w:hAnsi="宋体"/>
                <w:szCs w:val="21"/>
              </w:rPr>
            </w:pPr>
          </w:p>
        </w:tc>
        <w:tc>
          <w:tcPr>
            <w:tcW w:w="741"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eastAsia="宋体" w:cs="Times New Roman"/>
                <w:kern w:val="2"/>
                <w:sz w:val="21"/>
                <w:szCs w:val="21"/>
                <w:lang w:val="en-US" w:eastAsia="zh-CN" w:bidi="ar-SA"/>
              </w:rPr>
            </w:pPr>
          </w:p>
        </w:tc>
        <w:tc>
          <w:tcPr>
            <w:tcW w:w="9134" w:type="dxa"/>
            <w:vAlign w:val="top"/>
          </w:tcPr>
          <w:p>
            <w:pPr>
              <w:spacing w:line="400" w:lineRule="exact"/>
              <w:rPr>
                <w:rFonts w:ascii="宋体" w:hAnsi="宋体"/>
                <w:szCs w:val="21"/>
              </w:rPr>
            </w:pPr>
            <w:r>
              <w:rPr>
                <w:rFonts w:hint="eastAsia" w:ascii="宋体" w:hAnsi="宋体"/>
                <w:szCs w:val="21"/>
              </w:rPr>
              <w:t>建立有《内部审核控制程序》</w:t>
            </w:r>
          </w:p>
          <w:p>
            <w:pPr>
              <w:spacing w:line="400" w:lineRule="exact"/>
              <w:rPr>
                <w:rFonts w:ascii="宋体" w:hAnsi="宋体"/>
                <w:szCs w:val="21"/>
              </w:rPr>
            </w:pPr>
            <w:r>
              <w:rPr>
                <w:rFonts w:hint="eastAsia" w:ascii="宋体" w:hAnsi="宋体"/>
                <w:szCs w:val="21"/>
              </w:rPr>
              <w:t xml:space="preserve">见有《内部审核计划表》 </w:t>
            </w:r>
          </w:p>
          <w:p>
            <w:pPr>
              <w:spacing w:line="400" w:lineRule="exact"/>
              <w:rPr>
                <w:rFonts w:hint="default" w:ascii="宋体" w:hAnsi="宋体" w:eastAsia="宋体"/>
                <w:szCs w:val="21"/>
                <w:lang w:val="en-US" w:eastAsia="zh-CN"/>
              </w:rPr>
            </w:pPr>
            <w:r>
              <w:rPr>
                <w:rFonts w:hint="eastAsia" w:ascii="宋体" w:hAnsi="宋体"/>
                <w:szCs w:val="21"/>
              </w:rPr>
              <w:t>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w:t>
            </w:r>
            <w:r>
              <w:rPr>
                <w:rFonts w:hint="eastAsia" w:ascii="宋体" w:hAnsi="宋体"/>
                <w:szCs w:val="21"/>
                <w:lang w:val="en-US" w:eastAsia="zh-CN"/>
              </w:rPr>
              <w:t>-23日</w:t>
            </w:r>
          </w:p>
          <w:p>
            <w:pPr>
              <w:spacing w:line="400" w:lineRule="exact"/>
              <w:rPr>
                <w:szCs w:val="21"/>
              </w:rPr>
            </w:pPr>
            <w:r>
              <w:rPr>
                <w:rFonts w:hint="eastAsia" w:ascii="宋体" w:hAnsi="宋体"/>
                <w:szCs w:val="21"/>
              </w:rPr>
              <w:t>内审组：</w:t>
            </w:r>
            <w:r>
              <w:rPr>
                <w:rFonts w:hint="eastAsia" w:ascii="宋体" w:hAnsi="宋体"/>
                <w:szCs w:val="21"/>
                <w:lang w:val="en-US" w:eastAsia="zh-CN"/>
              </w:rPr>
              <w:t>卢枭</w:t>
            </w:r>
            <w:r>
              <w:rPr>
                <w:rFonts w:hint="eastAsia"/>
                <w:szCs w:val="21"/>
              </w:rPr>
              <w:t>（组长）、</w:t>
            </w:r>
            <w:r>
              <w:rPr>
                <w:rFonts w:hint="eastAsia"/>
                <w:szCs w:val="21"/>
                <w:lang w:val="en-US" w:eastAsia="zh-CN"/>
              </w:rPr>
              <w:t>陈华</w:t>
            </w:r>
            <w:r>
              <w:rPr>
                <w:rFonts w:hint="eastAsia"/>
                <w:szCs w:val="21"/>
              </w:rPr>
              <w:t>（组员）。</w:t>
            </w:r>
          </w:p>
          <w:p>
            <w:pPr>
              <w:spacing w:line="360" w:lineRule="auto"/>
              <w:rPr>
                <w:rFonts w:ascii="宋体" w:hAnsi="宋体"/>
                <w:szCs w:val="21"/>
              </w:rPr>
            </w:pPr>
            <w:r>
              <w:rPr>
                <w:rFonts w:hint="eastAsia" w:ascii="宋体" w:hAnsi="宋体"/>
                <w:szCs w:val="21"/>
              </w:rPr>
              <w:t>见有：《内审不符合项报告》</w:t>
            </w:r>
            <w:r>
              <w:rPr>
                <w:rFonts w:hint="eastAsia" w:ascii="宋体" w:hAnsi="宋体"/>
                <w:szCs w:val="21"/>
                <w:lang w:val="en-US" w:eastAsia="zh-CN"/>
              </w:rPr>
              <w:t>2</w:t>
            </w:r>
            <w:r>
              <w:rPr>
                <w:rFonts w:hint="eastAsia" w:ascii="宋体" w:hAnsi="宋体"/>
                <w:szCs w:val="21"/>
              </w:rPr>
              <w:t>份，涉及</w:t>
            </w:r>
            <w:r>
              <w:rPr>
                <w:rFonts w:hint="eastAsia" w:ascii="宋体" w:hAnsi="宋体"/>
                <w:szCs w:val="21"/>
                <w:highlight w:val="none"/>
                <w:lang w:eastAsia="zh-CN"/>
              </w:rPr>
              <w:t>销售</w:t>
            </w:r>
            <w:r>
              <w:rPr>
                <w:rFonts w:hint="eastAsia" w:ascii="宋体" w:hAnsi="宋体"/>
                <w:szCs w:val="21"/>
                <w:highlight w:val="none"/>
              </w:rPr>
              <w:t>部</w:t>
            </w:r>
            <w:r>
              <w:rPr>
                <w:rFonts w:hint="eastAsia" w:ascii="宋体" w:hAnsi="宋体"/>
                <w:szCs w:val="21"/>
                <w:highlight w:val="none"/>
                <w:lang w:val="en-US" w:eastAsia="zh-CN"/>
              </w:rPr>
              <w:t>Q8.4</w:t>
            </w:r>
            <w:r>
              <w:rPr>
                <w:rFonts w:hint="eastAsia" w:ascii="宋体" w:hAnsi="宋体"/>
                <w:szCs w:val="21"/>
                <w:highlight w:val="none"/>
              </w:rPr>
              <w:t>条款未能提供供方评价</w:t>
            </w:r>
            <w:r>
              <w:rPr>
                <w:rFonts w:hint="eastAsia" w:ascii="宋体" w:hAnsi="宋体"/>
                <w:szCs w:val="21"/>
                <w:highlight w:val="none"/>
                <w:lang w:val="en-US" w:eastAsia="zh-CN"/>
              </w:rPr>
              <w:t>记录</w:t>
            </w:r>
            <w:r>
              <w:rPr>
                <w:rFonts w:hint="eastAsia" w:ascii="宋体" w:hAnsi="宋体"/>
                <w:szCs w:val="21"/>
                <w:highlight w:val="none"/>
              </w:rPr>
              <w:t>没有评审人的签名</w:t>
            </w:r>
            <w:r>
              <w:rPr>
                <w:rFonts w:hint="eastAsia" w:ascii="宋体" w:hAnsi="宋体"/>
                <w:szCs w:val="21"/>
                <w:highlight w:val="none"/>
                <w:lang w:val="en-US" w:eastAsia="zh-CN"/>
              </w:rPr>
              <w:t>和</w:t>
            </w:r>
            <w:r>
              <w:rPr>
                <w:rFonts w:hint="eastAsia" w:ascii="宋体" w:hAnsi="宋体"/>
                <w:szCs w:val="21"/>
                <w:highlight w:val="none"/>
                <w:lang w:eastAsia="zh-CN"/>
              </w:rPr>
              <w:t>销售</w:t>
            </w:r>
            <w:r>
              <w:rPr>
                <w:rFonts w:hint="eastAsia" w:ascii="宋体" w:hAnsi="宋体"/>
                <w:szCs w:val="21"/>
                <w:highlight w:val="none"/>
              </w:rPr>
              <w:t>部</w:t>
            </w:r>
            <w:r>
              <w:rPr>
                <w:rFonts w:hint="eastAsia" w:ascii="宋体" w:hAnsi="宋体"/>
                <w:szCs w:val="21"/>
                <w:highlight w:val="none"/>
                <w:lang w:val="en-US" w:eastAsia="zh-CN"/>
              </w:rPr>
              <w:t>E/S8.1条款办公区域有一处</w:t>
            </w:r>
            <w:r>
              <w:rPr>
                <w:rFonts w:hint="eastAsia" w:ascii="宋体" w:hAnsi="宋体"/>
                <w:szCs w:val="21"/>
                <w:lang w:val="en-US" w:eastAsia="zh-CN"/>
              </w:rPr>
              <w:t>插座线缆有破损，</w:t>
            </w:r>
            <w:r>
              <w:rPr>
                <w:rFonts w:hint="eastAsia" w:ascii="宋体" w:hAnsi="宋体"/>
                <w:szCs w:val="21"/>
              </w:rPr>
              <w:t>针对该不符合项，已及时采取纠正措施后，经内审员验证关闭。</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有《内部审核报告》，有审核结论。</w:t>
            </w:r>
          </w:p>
        </w:tc>
        <w:tc>
          <w:tcPr>
            <w:tcW w:w="1356" w:type="dxa"/>
            <w:vAlign w:val="top"/>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9.2</w:t>
            </w:r>
          </w:p>
          <w:p>
            <w:pPr>
              <w:spacing w:line="440" w:lineRule="exact"/>
              <w:jc w:val="center"/>
              <w:rPr>
                <w:rFonts w:ascii="宋体" w:hAnsi="宋体" w:eastAsia="宋体" w:cs="Times New Roman"/>
                <w:kern w:val="2"/>
                <w:sz w:val="21"/>
                <w:szCs w:val="21"/>
                <w:lang w:val="en-US" w:eastAsia="zh-CN" w:bidi="ar-SA"/>
              </w:rPr>
            </w:pPr>
          </w:p>
        </w:tc>
        <w:tc>
          <w:tcPr>
            <w:tcW w:w="741" w:type="dxa"/>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eastAsia="宋体" w:cs="Times New Roman"/>
                <w:kern w:val="2"/>
                <w:sz w:val="21"/>
                <w:szCs w:val="21"/>
                <w:lang w:val="en-US" w:eastAsia="zh-CN" w:bidi="ar-SA"/>
              </w:rPr>
            </w:pPr>
          </w:p>
        </w:tc>
        <w:tc>
          <w:tcPr>
            <w:tcW w:w="9134" w:type="dxa"/>
            <w:vAlign w:val="top"/>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管理评审于20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日由总经</w:t>
            </w:r>
            <w:r>
              <w:rPr>
                <w:rFonts w:hint="eastAsia" w:ascii="宋体" w:hAnsi="宋体"/>
                <w:sz w:val="21"/>
                <w:szCs w:val="21"/>
              </w:rPr>
              <w:t>理</w:t>
            </w:r>
            <w:r>
              <w:rPr>
                <w:rFonts w:hint="eastAsia" w:ascii="宋体" w:hAnsi="宋体" w:cs="宋体"/>
                <w:szCs w:val="21"/>
                <w:lang w:eastAsia="zh-CN"/>
              </w:rPr>
              <w:t>卢先万</w:t>
            </w:r>
            <w:r>
              <w:rPr>
                <w:rFonts w:hint="eastAsia" w:ascii="宋体" w:hAnsi="宋体"/>
                <w:sz w:val="21"/>
                <w:szCs w:val="21"/>
              </w:rPr>
              <w:t>主持完成。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line="240" w:lineRule="auto"/>
              <w:ind w:firstLine="420" w:firstLineChars="200"/>
              <w:rPr>
                <w:rFonts w:hint="eastAsia" w:ascii="宋体" w:hAnsi="宋体"/>
                <w:kern w:val="0"/>
                <w:sz w:val="21"/>
                <w:szCs w:val="21"/>
              </w:rPr>
            </w:pPr>
          </w:p>
          <w:p>
            <w:pPr>
              <w:spacing w:line="240" w:lineRule="auto"/>
              <w:ind w:firstLine="420" w:firstLineChars="200"/>
              <w:rPr>
                <w:rFonts w:hint="eastAsia" w:ascii="宋体" w:hAnsi="宋体"/>
                <w:sz w:val="21"/>
                <w:szCs w:val="21"/>
              </w:rPr>
            </w:pPr>
            <w:r>
              <w:rPr>
                <w:rFonts w:hint="eastAsia" w:ascii="宋体" w:hAnsi="宋体"/>
                <w:kern w:val="0"/>
                <w:sz w:val="21"/>
                <w:szCs w:val="21"/>
              </w:rPr>
              <w:t>提出以下改进内容：</w:t>
            </w:r>
            <w:r>
              <w:rPr>
                <w:rFonts w:hint="eastAsia"/>
                <w:szCs w:val="21"/>
              </w:rPr>
              <w:t>针对体系运行中存在的问题，管理层中对某些细小的管理工作意识不够，全员参与性不强，人员素质和能力不高，加强对标准的学习，促进公司所有人员进一步熟悉标准条款内容</w:t>
            </w:r>
            <w:r>
              <w:rPr>
                <w:rFonts w:hint="eastAsia" w:ascii="宋体" w:hAnsi="宋体"/>
                <w:sz w:val="21"/>
                <w:szCs w:val="21"/>
              </w:rPr>
              <w:t>。</w:t>
            </w:r>
          </w:p>
          <w:p>
            <w:pPr>
              <w:spacing w:line="460" w:lineRule="exact"/>
              <w:rPr>
                <w:rFonts w:hint="eastAsia" w:ascii="宋体" w:hAnsi="宋体" w:eastAsia="宋体" w:cs="Times New Roman"/>
                <w:kern w:val="0"/>
                <w:sz w:val="21"/>
                <w:szCs w:val="21"/>
                <w:u w:val="single"/>
                <w:lang w:val="en-US" w:eastAsia="zh-CN" w:bidi="ar-SA"/>
              </w:rPr>
            </w:pPr>
          </w:p>
        </w:tc>
        <w:tc>
          <w:tcPr>
            <w:tcW w:w="1356" w:type="dxa"/>
            <w:vAlign w:val="top"/>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9.3</w:t>
            </w:r>
          </w:p>
          <w:p>
            <w:pPr>
              <w:spacing w:line="440" w:lineRule="exact"/>
              <w:jc w:val="center"/>
              <w:rPr>
                <w:rFonts w:ascii="宋体" w:hAnsi="宋体" w:eastAsia="宋体" w:cs="Times New Roman"/>
                <w:kern w:val="2"/>
                <w:sz w:val="21"/>
                <w:szCs w:val="21"/>
                <w:lang w:val="en-US" w:eastAsia="zh-CN" w:bidi="ar-SA"/>
              </w:rPr>
            </w:pPr>
          </w:p>
        </w:tc>
        <w:tc>
          <w:tcPr>
            <w:tcW w:w="741" w:type="dxa"/>
            <w:vAlign w:val="top"/>
          </w:tcPr>
          <w:p>
            <w:pPr>
              <w:adjustRightInd w:val="0"/>
              <w:spacing w:line="400" w:lineRule="exact"/>
              <w:textAlignment w:val="baseline"/>
              <w:rPr>
                <w:rFonts w:ascii="宋体" w:hAnsi="宋体"/>
                <w:kern w:val="0"/>
                <w:szCs w:val="21"/>
              </w:rPr>
            </w:pPr>
            <w:r>
              <w:rPr>
                <w:rFonts w:hint="eastAsia" w:ascii="宋体" w:hAnsi="宋体"/>
                <w:kern w:val="0"/>
                <w:szCs w:val="21"/>
              </w:rPr>
              <w:t>符合</w:t>
            </w:r>
          </w:p>
          <w:p>
            <w:pPr>
              <w:spacing w:line="440" w:lineRule="exact"/>
              <w:jc w:val="center"/>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highlight w:val="none"/>
              </w:rPr>
            </w:pPr>
            <w:r>
              <w:rPr>
                <w:rFonts w:hint="eastAsia" w:ascii="宋体" w:hAnsi="宋体"/>
                <w:szCs w:val="21"/>
                <w:highlight w:val="none"/>
              </w:rPr>
              <w:t>相关法规</w:t>
            </w: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环评报告及环评验收</w:t>
            </w:r>
          </w:p>
          <w:p>
            <w:pPr>
              <w:spacing w:line="400" w:lineRule="exact"/>
              <w:rPr>
                <w:szCs w:val="21"/>
                <w:highlight w:val="none"/>
              </w:rPr>
            </w:pPr>
            <w:r>
              <w:rPr>
                <w:rFonts w:hint="eastAsia"/>
                <w:szCs w:val="21"/>
                <w:highlight w:val="none"/>
              </w:rPr>
              <w:t>安评报告及安评验收</w:t>
            </w:r>
          </w:p>
          <w:p>
            <w:pPr>
              <w:spacing w:line="400" w:lineRule="exact"/>
              <w:rPr>
                <w:rFonts w:hint="eastAsia"/>
                <w:szCs w:val="21"/>
                <w:highlight w:val="none"/>
              </w:rPr>
            </w:pPr>
          </w:p>
          <w:p>
            <w:pPr>
              <w:spacing w:line="400" w:lineRule="exact"/>
              <w:rPr>
                <w:szCs w:val="21"/>
                <w:highlight w:val="none"/>
              </w:rPr>
            </w:pPr>
            <w:r>
              <w:rPr>
                <w:rFonts w:hint="eastAsia"/>
                <w:szCs w:val="21"/>
                <w:highlight w:val="none"/>
              </w:rPr>
              <w:t>执行的产品标准（QMS）</w:t>
            </w:r>
          </w:p>
          <w:p>
            <w:pPr>
              <w:spacing w:line="400" w:lineRule="exact"/>
              <w:rPr>
                <w:szCs w:val="21"/>
                <w:highlight w:val="none"/>
              </w:rPr>
            </w:pPr>
          </w:p>
          <w:p>
            <w:pPr>
              <w:spacing w:line="400" w:lineRule="exact"/>
              <w:rPr>
                <w:szCs w:val="21"/>
                <w:highlight w:val="none"/>
              </w:rPr>
            </w:pPr>
          </w:p>
          <w:p>
            <w:pPr>
              <w:spacing w:line="400" w:lineRule="exact"/>
              <w:rPr>
                <w:rFonts w:hint="eastAsia"/>
                <w:szCs w:val="21"/>
                <w:highlight w:val="none"/>
              </w:rPr>
            </w:pPr>
          </w:p>
          <w:p>
            <w:pPr>
              <w:spacing w:line="400" w:lineRule="exact"/>
              <w:rPr>
                <w:szCs w:val="21"/>
                <w:highlight w:val="none"/>
              </w:rPr>
            </w:pPr>
            <w:r>
              <w:rPr>
                <w:rFonts w:hint="eastAsia"/>
                <w:szCs w:val="21"/>
                <w:highlight w:val="none"/>
              </w:rPr>
              <w:t>执行的排污标准（EMS）</w:t>
            </w:r>
          </w:p>
          <w:p>
            <w:pPr>
              <w:spacing w:line="400" w:lineRule="exact"/>
              <w:rPr>
                <w:szCs w:val="21"/>
                <w:highlight w:val="none"/>
              </w:rPr>
            </w:pPr>
          </w:p>
          <w:p>
            <w:pPr>
              <w:spacing w:line="400" w:lineRule="exact"/>
              <w:rPr>
                <w:szCs w:val="21"/>
                <w:highlight w:val="none"/>
              </w:rPr>
            </w:pPr>
            <w:r>
              <w:rPr>
                <w:rFonts w:hint="eastAsia"/>
                <w:szCs w:val="21"/>
                <w:highlight w:val="none"/>
              </w:rPr>
              <w:t>执行的安全法规（OHSMS）</w:t>
            </w:r>
          </w:p>
          <w:p>
            <w:pPr>
              <w:spacing w:line="400" w:lineRule="exact"/>
              <w:rPr>
                <w:szCs w:val="21"/>
                <w:highlight w:val="none"/>
              </w:rPr>
            </w:pPr>
          </w:p>
          <w:p>
            <w:pPr>
              <w:spacing w:line="400" w:lineRule="exact"/>
              <w:rPr>
                <w:szCs w:val="21"/>
                <w:highlight w:val="none"/>
              </w:rPr>
            </w:pPr>
            <w:r>
              <w:rPr>
                <w:rFonts w:hint="eastAsia"/>
                <w:szCs w:val="21"/>
                <w:highlight w:val="none"/>
              </w:rPr>
              <w:t xml:space="preserve">合规性评价报告 </w:t>
            </w:r>
          </w:p>
          <w:p>
            <w:pPr>
              <w:spacing w:line="400" w:lineRule="exact"/>
              <w:rPr>
                <w:szCs w:val="21"/>
                <w:highlight w:val="none"/>
              </w:rPr>
            </w:pPr>
          </w:p>
          <w:p>
            <w:pPr>
              <w:spacing w:line="400" w:lineRule="exact"/>
              <w:rPr>
                <w:szCs w:val="21"/>
                <w:highlight w:val="none"/>
              </w:rPr>
            </w:pPr>
            <w:r>
              <w:rPr>
                <w:rFonts w:hint="eastAsia"/>
                <w:szCs w:val="21"/>
                <w:highlight w:val="none"/>
              </w:rPr>
              <w:t>环境相关监测报告（EMS）</w:t>
            </w:r>
          </w:p>
          <w:p>
            <w:pPr>
              <w:spacing w:line="400" w:lineRule="exact"/>
              <w:rPr>
                <w:szCs w:val="21"/>
                <w:highlight w:val="none"/>
              </w:rPr>
            </w:pPr>
            <w:r>
              <w:rPr>
                <w:rFonts w:hint="eastAsia"/>
                <w:szCs w:val="21"/>
                <w:highlight w:val="none"/>
              </w:rPr>
              <w:t>职业健康相关监测报告（OHSMS）</w:t>
            </w:r>
          </w:p>
          <w:p>
            <w:pPr>
              <w:spacing w:line="400" w:lineRule="exact"/>
              <w:rPr>
                <w:rFonts w:ascii="宋体" w:hAnsi="宋体" w:eastAsia="宋体" w:cs="Times New Roman"/>
                <w:kern w:val="2"/>
                <w:sz w:val="21"/>
                <w:szCs w:val="21"/>
                <w:highlight w:val="none"/>
                <w:lang w:val="en-US" w:eastAsia="zh-CN" w:bidi="ar-SA"/>
              </w:rPr>
            </w:pPr>
            <w:r>
              <w:rPr>
                <w:rFonts w:hint="eastAsia"/>
                <w:szCs w:val="21"/>
                <w:highlight w:val="none"/>
              </w:rPr>
              <w:t>产品质量监督抽查情况（QMS）</w:t>
            </w:r>
          </w:p>
        </w:tc>
        <w:tc>
          <w:tcPr>
            <w:tcW w:w="9134" w:type="dxa"/>
            <w:vAlign w:val="top"/>
          </w:tcPr>
          <w:p>
            <w:pPr>
              <w:spacing w:line="400" w:lineRule="exact"/>
              <w:rPr>
                <w:rFonts w:ascii="宋体" w:hAnsi="宋体"/>
                <w:szCs w:val="21"/>
                <w:highlight w:val="none"/>
              </w:rPr>
            </w:pPr>
            <w:r>
              <w:rPr>
                <w:rFonts w:hint="eastAsia" w:ascii="宋体" w:hAnsi="宋体"/>
                <w:szCs w:val="21"/>
                <w:highlight w:val="none"/>
              </w:rPr>
              <w:t>中华人民共和国合同法、中华人民共和国劳动法、中华人民共和国安全消防法、中华人民共和国劳动合同法、</w:t>
            </w:r>
            <w:r>
              <w:rPr>
                <w:rFonts w:ascii="宋体" w:hAnsi="宋体"/>
                <w:szCs w:val="21"/>
                <w:highlight w:val="none"/>
              </w:rPr>
              <w:t>中华人民共和国产品质量法</w:t>
            </w:r>
            <w:r>
              <w:rPr>
                <w:rFonts w:hint="eastAsia" w:ascii="宋体" w:hAnsi="宋体"/>
                <w:szCs w:val="21"/>
                <w:highlight w:val="none"/>
              </w:rPr>
              <w:t>、中华人民共和国安全生产法等</w:t>
            </w:r>
          </w:p>
          <w:p>
            <w:pPr>
              <w:spacing w:line="400" w:lineRule="exact"/>
              <w:rPr>
                <w:rFonts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不适用</w:t>
            </w:r>
          </w:p>
          <w:p>
            <w:pPr>
              <w:spacing w:line="400" w:lineRule="exact"/>
              <w:rPr>
                <w:rFonts w:ascii="宋体" w:hAnsi="宋体"/>
                <w:szCs w:val="21"/>
                <w:highlight w:val="none"/>
              </w:rPr>
            </w:pPr>
            <w:r>
              <w:rPr>
                <w:rFonts w:hint="eastAsia" w:ascii="宋体" w:hAnsi="宋体"/>
                <w:szCs w:val="21"/>
                <w:highlight w:val="none"/>
              </w:rPr>
              <w:t>不适用</w:t>
            </w:r>
          </w:p>
          <w:p>
            <w:pPr>
              <w:pStyle w:val="3"/>
              <w:keepNext w:val="0"/>
              <w:keepLines w:val="0"/>
              <w:widowControl/>
              <w:suppressLineNumbers w:val="0"/>
              <w:shd w:val="clear" w:color="auto" w:fill="FFFFFF"/>
              <w:ind w:left="0" w:firstLine="0"/>
              <w:rPr>
                <w:rFonts w:hint="default" w:ascii="宋体" w:hAnsi="宋体" w:eastAsia="宋体" w:cs="Times New Roman"/>
                <w:b w:val="0"/>
                <w:kern w:val="2"/>
                <w:sz w:val="21"/>
                <w:szCs w:val="21"/>
                <w:highlight w:val="none"/>
                <w:lang w:val="en-US" w:eastAsia="zh-CN" w:bidi="ar-SA"/>
              </w:rPr>
            </w:pPr>
            <w:bookmarkStart w:id="2" w:name="_GoBack"/>
            <w:r>
              <w:rPr>
                <w:rFonts w:hint="eastAsia" w:ascii="宋体" w:hAnsi="宋体" w:eastAsia="宋体" w:cs="Times New Roman"/>
                <w:b w:val="0"/>
                <w:kern w:val="2"/>
                <w:sz w:val="21"/>
                <w:szCs w:val="21"/>
                <w:highlight w:val="none"/>
                <w:lang w:val="en-US" w:eastAsia="zh-CN" w:bidi="ar-SA"/>
              </w:rPr>
              <w:t>食品安全国家标准 食品生产通用卫生规范GB 14881-2013、运输和贮藏企业要求CCAA 0021-2014 、预包装食品标签通则GB 7718-2011、速冻饺子GB/T 23786-2009、速冻汤圆SB/T 10423-2017、分割鲜、冻猪瘦肉GB/T 9959.2-2008、鸭肉等级规格NY/T 1760-2009等</w:t>
            </w:r>
            <w:bookmarkEnd w:id="2"/>
            <w:r>
              <w:rPr>
                <w:rFonts w:hint="eastAsia" w:ascii="宋体" w:hAnsi="宋体" w:eastAsia="宋体" w:cs="Times New Roman"/>
                <w:b w:val="0"/>
                <w:kern w:val="2"/>
                <w:sz w:val="21"/>
                <w:szCs w:val="21"/>
                <w:highlight w:val="none"/>
                <w:lang w:val="en-US" w:eastAsia="zh-CN" w:bidi="ar-SA"/>
              </w:rPr>
              <w:t>、合同协议等。</w:t>
            </w: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r>
              <w:rPr>
                <w:rFonts w:hint="eastAsia" w:ascii="宋体" w:hAnsi="宋体"/>
                <w:szCs w:val="21"/>
                <w:highlight w:val="none"/>
              </w:rPr>
              <w:t>污水排入城镇下水道水质标准（</w:t>
            </w:r>
            <w:r>
              <w:rPr>
                <w:rFonts w:ascii="宋体" w:hAnsi="宋体"/>
                <w:szCs w:val="21"/>
                <w:highlight w:val="none"/>
              </w:rPr>
              <w:t>GB/T 31962-2015</w:t>
            </w:r>
            <w:r>
              <w:rPr>
                <w:rFonts w:hint="eastAsia" w:ascii="宋体" w:hAnsi="宋体"/>
                <w:szCs w:val="21"/>
                <w:highlight w:val="none"/>
              </w:rPr>
              <w:t>）</w:t>
            </w:r>
          </w:p>
          <w:p>
            <w:pPr>
              <w:rPr>
                <w:rFonts w:ascii="宋体" w:hAnsi="宋体"/>
                <w:szCs w:val="21"/>
                <w:highlight w:val="none"/>
              </w:rPr>
            </w:pPr>
          </w:p>
          <w:p>
            <w:pPr>
              <w:spacing w:line="400" w:lineRule="exact"/>
              <w:rPr>
                <w:szCs w:val="21"/>
                <w:highlight w:val="none"/>
              </w:rPr>
            </w:pPr>
            <w:r>
              <w:rPr>
                <w:rFonts w:hint="eastAsia" w:ascii="宋体" w:hAnsi="宋体"/>
                <w:szCs w:val="21"/>
                <w:highlight w:val="none"/>
              </w:rPr>
              <w:t>中华人民共和国安全消防法、</w:t>
            </w:r>
            <w:r>
              <w:rPr>
                <w:rFonts w:hint="eastAsia" w:ascii="宋体" w:hAnsi="宋体"/>
                <w:color w:val="000000"/>
                <w:szCs w:val="21"/>
                <w:highlight w:val="none"/>
              </w:rPr>
              <w:t>中华人民共和国劳动合同法、</w:t>
            </w:r>
            <w:r>
              <w:rPr>
                <w:rFonts w:hint="eastAsia" w:ascii="宋体" w:hAnsi="宋体" w:cs="宋体"/>
                <w:color w:val="000000"/>
                <w:szCs w:val="21"/>
                <w:highlight w:val="none"/>
              </w:rPr>
              <w:t>中华人民共和国安全生产法等</w:t>
            </w:r>
          </w:p>
          <w:p>
            <w:pPr>
              <w:spacing w:line="400" w:lineRule="exact"/>
              <w:rPr>
                <w:szCs w:val="21"/>
                <w:highlight w:val="none"/>
              </w:rPr>
            </w:pPr>
          </w:p>
          <w:p>
            <w:pPr>
              <w:spacing w:line="400" w:lineRule="exact"/>
              <w:rPr>
                <w:szCs w:val="21"/>
                <w:highlight w:val="none"/>
              </w:rPr>
            </w:pPr>
            <w:r>
              <w:rPr>
                <w:rFonts w:hint="eastAsia"/>
                <w:szCs w:val="21"/>
                <w:highlight w:val="none"/>
              </w:rPr>
              <w:t>20</w:t>
            </w:r>
            <w:r>
              <w:rPr>
                <w:rFonts w:hint="eastAsia"/>
                <w:szCs w:val="21"/>
                <w:highlight w:val="none"/>
                <w:lang w:val="en-US" w:eastAsia="zh-CN"/>
              </w:rPr>
              <w:t>20</w:t>
            </w:r>
            <w:r>
              <w:rPr>
                <w:rFonts w:hint="eastAsia"/>
                <w:szCs w:val="21"/>
                <w:highlight w:val="none"/>
              </w:rPr>
              <w:t>年</w:t>
            </w:r>
            <w:r>
              <w:rPr>
                <w:rFonts w:hint="eastAsia"/>
                <w:szCs w:val="21"/>
                <w:highlight w:val="none"/>
                <w:lang w:val="en-US" w:eastAsia="zh-CN"/>
              </w:rPr>
              <w:t>9</w:t>
            </w:r>
            <w:r>
              <w:rPr>
                <w:rFonts w:hint="eastAsia"/>
                <w:szCs w:val="21"/>
                <w:highlight w:val="none"/>
              </w:rPr>
              <w:t>月1</w:t>
            </w:r>
            <w:r>
              <w:rPr>
                <w:rFonts w:hint="eastAsia"/>
                <w:szCs w:val="21"/>
                <w:highlight w:val="none"/>
                <w:lang w:val="en-US" w:eastAsia="zh-CN"/>
              </w:rPr>
              <w:t>1</w:t>
            </w:r>
            <w:r>
              <w:rPr>
                <w:rFonts w:hint="eastAsia"/>
                <w:szCs w:val="21"/>
                <w:highlight w:val="none"/>
              </w:rPr>
              <w:t>日进行了合规性评价</w:t>
            </w:r>
          </w:p>
          <w:p>
            <w:pPr>
              <w:spacing w:line="400" w:lineRule="exact"/>
              <w:rPr>
                <w:szCs w:val="21"/>
                <w:highlight w:val="none"/>
              </w:rPr>
            </w:pPr>
          </w:p>
          <w:p>
            <w:pPr>
              <w:spacing w:line="400" w:lineRule="exact"/>
              <w:rPr>
                <w:szCs w:val="21"/>
                <w:highlight w:val="none"/>
              </w:rPr>
            </w:pPr>
            <w:r>
              <w:rPr>
                <w:rFonts w:hint="eastAsia"/>
                <w:szCs w:val="21"/>
                <w:highlight w:val="none"/>
              </w:rPr>
              <w:t>无</w:t>
            </w:r>
          </w:p>
          <w:p>
            <w:pPr>
              <w:spacing w:line="400" w:lineRule="exact"/>
              <w:rPr>
                <w:szCs w:val="21"/>
                <w:highlight w:val="none"/>
              </w:rPr>
            </w:pPr>
            <w:r>
              <w:rPr>
                <w:rFonts w:hint="eastAsia"/>
                <w:szCs w:val="21"/>
                <w:highlight w:val="none"/>
              </w:rPr>
              <w:t>无</w:t>
            </w:r>
          </w:p>
          <w:p>
            <w:pPr>
              <w:spacing w:line="400" w:lineRule="exact"/>
              <w:rPr>
                <w:rFonts w:hint="eastAsia" w:ascii="宋体" w:hAnsi="宋体" w:eastAsia="宋体" w:cs="Times New Roman"/>
                <w:kern w:val="2"/>
                <w:sz w:val="21"/>
                <w:szCs w:val="21"/>
                <w:highlight w:val="none"/>
                <w:lang w:val="en-US" w:eastAsia="zh-CN" w:bidi="ar-SA"/>
              </w:rPr>
            </w:pPr>
            <w:r>
              <w:rPr>
                <w:rFonts w:hint="eastAsia"/>
                <w:szCs w:val="21"/>
                <w:highlight w:val="none"/>
              </w:rPr>
              <w:t>无质量监督抽查。</w:t>
            </w:r>
          </w:p>
        </w:tc>
        <w:tc>
          <w:tcPr>
            <w:tcW w:w="1356" w:type="dxa"/>
            <w:vAlign w:val="top"/>
          </w:tcPr>
          <w:p>
            <w:pPr>
              <w:adjustRightInd w:val="0"/>
              <w:snapToGrid w:val="0"/>
              <w:rPr>
                <w:rFonts w:ascii="宋体" w:hAnsi="宋体" w:cs="宋体"/>
                <w:szCs w:val="21"/>
              </w:rPr>
            </w:pPr>
            <w:r>
              <w:rPr>
                <w:rFonts w:hint="eastAsia" w:ascii="宋体" w:hAnsi="宋体"/>
                <w:szCs w:val="21"/>
              </w:rPr>
              <w:t>Q/E/S:6.1.3、9.1.2</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eastAsia="宋体" w:cs="Times New Roman"/>
                <w:kern w:val="2"/>
                <w:sz w:val="21"/>
                <w:szCs w:val="21"/>
                <w:lang w:val="en-US" w:eastAsia="zh-CN" w:bidi="ar-SA"/>
              </w:rPr>
            </w:pPr>
          </w:p>
        </w:tc>
        <w:tc>
          <w:tcPr>
            <w:tcW w:w="741" w:type="dxa"/>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rPr>
            </w:pPr>
            <w:r>
              <w:rPr>
                <w:rFonts w:hint="eastAsia" w:ascii="宋体" w:hAnsi="宋体"/>
                <w:szCs w:val="21"/>
              </w:rPr>
              <w:t>工艺流程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不适用条款的确认</w:t>
            </w:r>
          </w:p>
          <w:p>
            <w:pPr>
              <w:spacing w:line="400" w:lineRule="exact"/>
              <w:rPr>
                <w:rFonts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外包的识别</w:t>
            </w:r>
          </w:p>
          <w:p>
            <w:pPr>
              <w:spacing w:line="400" w:lineRule="exact"/>
              <w:rPr>
                <w:rFonts w:ascii="宋体" w:hAnsi="宋体"/>
                <w:szCs w:val="21"/>
              </w:rPr>
            </w:pPr>
            <w:r>
              <w:rPr>
                <w:rFonts w:hint="eastAsia" w:ascii="宋体" w:hAnsi="宋体"/>
                <w:szCs w:val="21"/>
              </w:rPr>
              <w:t>重要环境因素（EMS）</w:t>
            </w:r>
          </w:p>
          <w:p>
            <w:pPr>
              <w:spacing w:line="400" w:lineRule="exact"/>
              <w:rPr>
                <w:szCs w:val="21"/>
              </w:rPr>
            </w:pPr>
            <w:r>
              <w:rPr>
                <w:rFonts w:hint="eastAsia"/>
                <w:szCs w:val="21"/>
              </w:rPr>
              <w:t>不可接受风险（OHSMS）</w:t>
            </w:r>
          </w:p>
          <w:p>
            <w:pPr>
              <w:spacing w:line="400" w:lineRule="exact"/>
              <w:rPr>
                <w:rFonts w:hint="eastAsia" w:ascii="Times New Roman" w:hAnsi="Times New Roman" w:eastAsia="宋体" w:cs="Times New Roman"/>
                <w:kern w:val="2"/>
                <w:sz w:val="21"/>
                <w:szCs w:val="21"/>
                <w:lang w:val="en-US" w:eastAsia="zh-CN" w:bidi="ar-SA"/>
              </w:rPr>
            </w:pPr>
            <w:r>
              <w:rPr>
                <w:rFonts w:hint="eastAsia"/>
                <w:szCs w:val="21"/>
              </w:rPr>
              <w:t>应急管理</w:t>
            </w:r>
          </w:p>
        </w:tc>
        <w:tc>
          <w:tcPr>
            <w:tcW w:w="9134" w:type="dxa"/>
            <w:vAlign w:val="top"/>
          </w:tcPr>
          <w:p>
            <w:pPr>
              <w:rPr>
                <w:rFonts w:ascii="宋体" w:hAnsi="宋体"/>
                <w:szCs w:val="21"/>
              </w:rPr>
            </w:pPr>
            <w:r>
              <w:rPr>
                <w:rFonts w:hint="eastAsia" w:ascii="宋体" w:hAnsi="宋体"/>
                <w:szCs w:val="21"/>
              </w:rPr>
              <w:t>销售流程：</w:t>
            </w:r>
          </w:p>
          <w:p>
            <w:pPr>
              <w:rPr>
                <w:rFonts w:ascii="宋体" w:hAnsi="宋体"/>
                <w:sz w:val="21"/>
                <w:szCs w:val="21"/>
              </w:rPr>
            </w:pPr>
            <w:r>
              <w:rPr>
                <w:rFonts w:ascii="宋体" w:hAnsi="宋体" w:eastAsia="宋体" w:cs="宋体"/>
                <w:color w:val="000000" w:themeColor="text1"/>
                <w:sz w:val="21"/>
                <w:szCs w:val="21"/>
              </w:rPr>
              <w:t>顾客需求—签订合同—采购—验收—配送—交付—顾客验收</w:t>
            </w:r>
            <w:r>
              <w:rPr>
                <w:rFonts w:hint="eastAsia" w:ascii="宋体" w:hAnsi="宋体"/>
                <w:sz w:val="21"/>
                <w:szCs w:val="21"/>
              </w:rPr>
              <w:t>。</w:t>
            </w:r>
          </w:p>
          <w:p>
            <w:pPr>
              <w:rPr>
                <w:rFonts w:ascii="宋体" w:hAnsi="宋体"/>
                <w:szCs w:val="21"/>
              </w:rPr>
            </w:pPr>
            <w:r>
              <w:rPr>
                <w:rFonts w:hint="eastAsia" w:ascii="宋体" w:hAnsi="宋体"/>
                <w:szCs w:val="21"/>
              </w:rPr>
              <w:t>需确认过程：销售过程</w:t>
            </w:r>
            <w:r>
              <w:rPr>
                <w:rFonts w:hint="eastAsia" w:ascii="宋体" w:hAnsi="宋体" w:cs="宋体"/>
                <w:szCs w:val="21"/>
              </w:rPr>
              <w:t>，也是关键过程。</w:t>
            </w:r>
          </w:p>
          <w:p>
            <w:pPr>
              <w:tabs>
                <w:tab w:val="left" w:pos="1080"/>
              </w:tabs>
              <w:spacing w:line="400" w:lineRule="exact"/>
              <w:rPr>
                <w:rFonts w:ascii="宋体" w:hAnsi="宋体"/>
                <w:szCs w:val="21"/>
              </w:rPr>
            </w:pPr>
            <w:r>
              <w:rPr>
                <w:rFonts w:hint="eastAsia" w:ascii="宋体" w:hAnsi="宋体"/>
                <w:szCs w:val="21"/>
              </w:rPr>
              <w:t>Q8.3条款，</w:t>
            </w:r>
            <w:r>
              <w:rPr>
                <w:rFonts w:hint="eastAsia"/>
                <w:sz w:val="21"/>
                <w:szCs w:val="21"/>
              </w:rPr>
              <w:t>公司销售的产品</w:t>
            </w:r>
            <w:r>
              <w:rPr>
                <w:rFonts w:hint="eastAsia"/>
                <w:sz w:val="21"/>
                <w:szCs w:val="21"/>
                <w:lang w:eastAsia="zh-CN"/>
              </w:rPr>
              <w:t>按照国家法律法规、国家标准及顾客要求实施服务，不涉及服务设计，故GB/T19001-2016标准的8.3“服务和服务的设计和开发”部分不适用，不适用部分不影响组织提供满足顾客要求和适用法律法规要求的服务的能力与责任。</w:t>
            </w:r>
            <w:r>
              <w:rPr>
                <w:rFonts w:hint="eastAsia" w:ascii="宋体" w:hAnsi="宋体"/>
                <w:szCs w:val="21"/>
              </w:rPr>
              <w:t>。</w:t>
            </w:r>
          </w:p>
          <w:p>
            <w:pPr>
              <w:tabs>
                <w:tab w:val="left" w:pos="1080"/>
              </w:tabs>
              <w:spacing w:line="400" w:lineRule="exact"/>
              <w:rPr>
                <w:rFonts w:ascii="宋体" w:hAnsi="宋体"/>
                <w:szCs w:val="21"/>
              </w:rPr>
            </w:pPr>
          </w:p>
          <w:p>
            <w:pPr>
              <w:tabs>
                <w:tab w:val="left" w:pos="1080"/>
              </w:tabs>
              <w:spacing w:line="400" w:lineRule="exact"/>
              <w:rPr>
                <w:rFonts w:ascii="宋体" w:hAnsi="宋体"/>
                <w:szCs w:val="21"/>
              </w:rPr>
            </w:pPr>
            <w:r>
              <w:rPr>
                <w:rFonts w:hint="eastAsia" w:ascii="宋体" w:hAnsi="宋体"/>
                <w:szCs w:val="21"/>
              </w:rPr>
              <w:t>无</w:t>
            </w:r>
          </w:p>
          <w:p>
            <w:pPr>
              <w:tabs>
                <w:tab w:val="left" w:pos="1080"/>
              </w:tabs>
              <w:spacing w:line="400" w:lineRule="exact"/>
              <w:rPr>
                <w:rFonts w:ascii="宋体" w:hAnsi="宋体"/>
                <w:szCs w:val="21"/>
              </w:rPr>
            </w:pPr>
            <w:r>
              <w:rPr>
                <w:rFonts w:hint="eastAsia" w:ascii="宋体" w:hAnsi="宋体"/>
                <w:szCs w:val="21"/>
              </w:rPr>
              <w:t>潜在火灾、固废排放</w:t>
            </w:r>
            <w:r>
              <w:rPr>
                <w:rFonts w:hint="eastAsia" w:ascii="宋体" w:hAnsi="宋体"/>
                <w:szCs w:val="21"/>
                <w:lang w:eastAsia="zh-CN"/>
              </w:rPr>
              <w:t>、</w:t>
            </w:r>
            <w:r>
              <w:rPr>
                <w:rFonts w:hint="eastAsia"/>
                <w:color w:val="000000"/>
                <w:lang w:val="en-US" w:eastAsia="zh-CN"/>
              </w:rPr>
              <w:t>资源、能源的消耗</w:t>
            </w:r>
            <w:r>
              <w:rPr>
                <w:rFonts w:hint="eastAsia" w:ascii="宋体" w:hAnsi="宋体"/>
                <w:szCs w:val="21"/>
              </w:rPr>
              <w:t>。</w:t>
            </w:r>
          </w:p>
          <w:p>
            <w:pPr>
              <w:tabs>
                <w:tab w:val="left" w:pos="1080"/>
              </w:tabs>
              <w:spacing w:line="400" w:lineRule="exact"/>
              <w:rPr>
                <w:rFonts w:ascii="宋体" w:hAnsi="宋体"/>
                <w:color w:val="FF0000"/>
                <w:szCs w:val="21"/>
              </w:rPr>
            </w:pPr>
            <w:r>
              <w:rPr>
                <w:rFonts w:hint="eastAsia" w:ascii="宋体" w:hAnsi="宋体"/>
                <w:szCs w:val="21"/>
              </w:rPr>
              <w:t>火灾、触电、意外</w:t>
            </w:r>
            <w:r>
              <w:rPr>
                <w:rFonts w:hint="eastAsia" w:ascii="宋体" w:hAnsi="宋体"/>
                <w:szCs w:val="21"/>
                <w:lang w:val="en-US" w:eastAsia="zh-CN"/>
              </w:rPr>
              <w:t>伤害</w:t>
            </w:r>
            <w:r>
              <w:rPr>
                <w:rFonts w:hint="eastAsia" w:ascii="宋体" w:hAnsi="宋体"/>
                <w:szCs w:val="21"/>
              </w:rPr>
              <w:t>、食物中毒</w:t>
            </w:r>
            <w:r>
              <w:rPr>
                <w:rFonts w:ascii="宋体" w:hAnsi="宋体"/>
                <w:szCs w:val="21"/>
              </w:rPr>
              <w:t>（霉变、</w:t>
            </w:r>
            <w:r>
              <w:rPr>
                <w:rFonts w:hint="eastAsia" w:ascii="宋体" w:hAnsi="宋体"/>
                <w:szCs w:val="21"/>
              </w:rPr>
              <w:t>变质</w:t>
            </w:r>
            <w:r>
              <w:rPr>
                <w:rFonts w:ascii="宋体" w:hAnsi="宋体"/>
                <w:szCs w:val="21"/>
              </w:rPr>
              <w:t>等）</w:t>
            </w:r>
            <w:r>
              <w:rPr>
                <w:rFonts w:hint="eastAsia" w:ascii="宋体" w:hAnsi="宋体"/>
                <w:szCs w:val="21"/>
              </w:rPr>
              <w:t>。</w:t>
            </w:r>
          </w:p>
          <w:p>
            <w:pPr>
              <w:tabs>
                <w:tab w:val="left" w:pos="1080"/>
              </w:tabs>
              <w:spacing w:line="400" w:lineRule="exact"/>
              <w:rPr>
                <w:rFonts w:hint="eastAsia" w:ascii="宋体" w:hAnsi="宋体" w:eastAsia="宋体" w:cs="Times New Roman"/>
                <w:kern w:val="2"/>
                <w:sz w:val="21"/>
                <w:szCs w:val="21"/>
                <w:lang w:val="en-US" w:eastAsia="zh-CN" w:bidi="ar-SA"/>
              </w:rPr>
            </w:pPr>
            <w:r>
              <w:rPr>
                <w:rFonts w:hint="eastAsia" w:ascii="宋体" w:hAnsi="宋体"/>
                <w:szCs w:val="21"/>
                <w:highlight w:val="none"/>
              </w:rPr>
              <w:t>公司拟定有《火灾、触电应急预案》，2020年7月20日进行了消防演习演习。</w:t>
            </w:r>
          </w:p>
        </w:tc>
        <w:tc>
          <w:tcPr>
            <w:tcW w:w="1356" w:type="dxa"/>
            <w:vAlign w:val="top"/>
          </w:tcPr>
          <w:p>
            <w:pPr>
              <w:adjustRightInd w:val="0"/>
              <w:snapToGrid w:val="0"/>
              <w:rPr>
                <w:rFonts w:ascii="宋体" w:hAnsi="宋体"/>
                <w:szCs w:val="21"/>
              </w:rPr>
            </w:pPr>
            <w:r>
              <w:rPr>
                <w:rFonts w:hint="eastAsia" w:ascii="宋体" w:hAnsi="宋体"/>
                <w:szCs w:val="21"/>
              </w:rPr>
              <w:t>Q/E/S:8.1、8.2;</w:t>
            </w:r>
          </w:p>
          <w:p>
            <w:pPr>
              <w:adjustRightInd w:val="0"/>
              <w:snapToGrid w:val="0"/>
              <w:rPr>
                <w:rFonts w:ascii="宋体" w:hAnsi="宋体"/>
                <w:szCs w:val="21"/>
              </w:rPr>
            </w:pPr>
            <w:r>
              <w:rPr>
                <w:rFonts w:hint="eastAsia" w:ascii="宋体" w:hAnsi="宋体"/>
                <w:szCs w:val="21"/>
              </w:rPr>
              <w:t>E/S;6.1.2;</w:t>
            </w:r>
          </w:p>
          <w:p>
            <w:pPr>
              <w:adjustRightInd w:val="0"/>
              <w:snapToGrid w:val="0"/>
              <w:rPr>
                <w:rFonts w:ascii="宋体" w:hAnsi="宋体" w:eastAsia="宋体" w:cs="Times New Roman"/>
                <w:kern w:val="2"/>
                <w:sz w:val="21"/>
                <w:szCs w:val="21"/>
                <w:lang w:val="en-US" w:eastAsia="zh-CN" w:bidi="ar-SA"/>
              </w:rPr>
            </w:pPr>
            <w:r>
              <w:rPr>
                <w:rFonts w:hint="eastAsia" w:ascii="宋体" w:hAnsi="宋体"/>
                <w:szCs w:val="21"/>
              </w:rPr>
              <w:t>Q8.3</w:t>
            </w:r>
          </w:p>
        </w:tc>
        <w:tc>
          <w:tcPr>
            <w:tcW w:w="741" w:type="dxa"/>
            <w:vAlign w:val="top"/>
          </w:tcPr>
          <w:p>
            <w:pPr>
              <w:tabs>
                <w:tab w:val="left" w:pos="1080"/>
              </w:tabs>
              <w:spacing w:line="400" w:lineRule="exact"/>
              <w:rPr>
                <w:rFonts w:ascii="宋体" w:hAnsi="宋体"/>
                <w:szCs w:val="21"/>
              </w:rPr>
            </w:pPr>
            <w:r>
              <w:rPr>
                <w:rFonts w:hint="eastAsia" w:ascii="宋体" w:hAnsi="宋体"/>
                <w:szCs w:val="21"/>
              </w:rPr>
              <w:t>符合</w:t>
            </w:r>
          </w:p>
          <w:p>
            <w:pPr>
              <w:spacing w:line="440" w:lineRule="exact"/>
              <w:jc w:val="center"/>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rPr>
            </w:pPr>
            <w:r>
              <w:rPr>
                <w:rFonts w:hint="eastAsia" w:ascii="宋体" w:hAnsi="宋体"/>
                <w:szCs w:val="21"/>
              </w:rPr>
              <w:t>设计开发产品或项目名称</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主要原材料</w:t>
            </w:r>
          </w:p>
        </w:tc>
        <w:tc>
          <w:tcPr>
            <w:tcW w:w="9134" w:type="dxa"/>
            <w:vAlign w:val="top"/>
          </w:tcPr>
          <w:p>
            <w:pPr>
              <w:spacing w:line="400" w:lineRule="exact"/>
              <w:rPr>
                <w:color w:val="000000"/>
              </w:rPr>
            </w:pPr>
            <w:r>
              <w:rPr>
                <w:rFonts w:hint="eastAsia"/>
                <w:color w:val="000000"/>
              </w:rPr>
              <w:t>无</w:t>
            </w:r>
          </w:p>
          <w:p>
            <w:pPr>
              <w:spacing w:line="400" w:lineRule="exact"/>
              <w:rPr>
                <w:rFonts w:hint="eastAsia" w:ascii="Times New Roman" w:hAnsi="Times New Roman" w:eastAsia="宋体" w:cs="Times New Roman"/>
                <w:kern w:val="2"/>
                <w:sz w:val="21"/>
                <w:lang w:val="en-US" w:eastAsia="zh-CN" w:bidi="ar-SA"/>
              </w:rPr>
            </w:pPr>
            <w:r>
              <w:rPr>
                <w:rFonts w:hint="eastAsia"/>
              </w:rPr>
              <w:t>办公用品、</w:t>
            </w:r>
            <w:r>
              <w:rPr>
                <w:rFonts w:hint="eastAsia"/>
                <w:lang w:val="en-US" w:eastAsia="zh-CN"/>
              </w:rPr>
              <w:t>面食品</w:t>
            </w:r>
            <w:r>
              <w:rPr>
                <w:rFonts w:hint="eastAsia"/>
              </w:rPr>
              <w:t>、肉制品等。</w:t>
            </w:r>
          </w:p>
        </w:tc>
        <w:tc>
          <w:tcPr>
            <w:tcW w:w="1356" w:type="dxa"/>
            <w:vAlign w:val="top"/>
          </w:tcPr>
          <w:p>
            <w:pPr>
              <w:spacing w:line="440" w:lineRule="exact"/>
              <w:jc w:val="left"/>
              <w:rPr>
                <w:rFonts w:hint="eastAsia" w:ascii="宋体" w:hAnsi="宋体" w:eastAsia="宋体" w:cs="Times New Roman"/>
                <w:kern w:val="2"/>
                <w:sz w:val="21"/>
                <w:szCs w:val="21"/>
                <w:lang w:val="en-US" w:eastAsia="zh-CN" w:bidi="ar-SA"/>
              </w:rPr>
            </w:pPr>
            <w:r>
              <w:rPr>
                <w:rFonts w:hint="eastAsia" w:ascii="宋体" w:hAnsi="宋体"/>
                <w:szCs w:val="21"/>
              </w:rPr>
              <w:t>Q8.3</w:t>
            </w:r>
          </w:p>
        </w:tc>
        <w:tc>
          <w:tcPr>
            <w:tcW w:w="741" w:type="dxa"/>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u w:val="single"/>
              </w:rPr>
            </w:pPr>
            <w:r>
              <w:rPr>
                <w:rFonts w:hint="eastAsia" w:ascii="宋体" w:hAnsi="宋体"/>
                <w:szCs w:val="21"/>
                <w:u w:val="single"/>
              </w:rPr>
              <w:t>员工人数</w:t>
            </w:r>
          </w:p>
          <w:p>
            <w:pPr>
              <w:spacing w:line="400" w:lineRule="exact"/>
              <w:rPr>
                <w:rFonts w:ascii="宋体" w:hAnsi="宋体"/>
                <w:szCs w:val="21"/>
              </w:rPr>
            </w:pPr>
            <w:r>
              <w:rPr>
                <w:rFonts w:hint="eastAsia" w:ascii="宋体" w:hAnsi="宋体"/>
                <w:szCs w:val="21"/>
              </w:rPr>
              <w:t>关键岗位持证上岗人员</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特殊工种人员</w:t>
            </w:r>
          </w:p>
        </w:tc>
        <w:tc>
          <w:tcPr>
            <w:tcW w:w="9134" w:type="dxa"/>
            <w:vAlign w:val="top"/>
          </w:tcPr>
          <w:p>
            <w:pPr>
              <w:spacing w:line="400" w:lineRule="exact"/>
              <w:rPr>
                <w:rFonts w:ascii="宋体" w:hAnsi="宋体"/>
                <w:szCs w:val="21"/>
              </w:rPr>
            </w:pPr>
            <w:r>
              <w:rPr>
                <w:rFonts w:hint="eastAsia" w:ascii="宋体" w:hAnsi="宋体"/>
                <w:szCs w:val="21"/>
              </w:rPr>
              <w:t>1</w:t>
            </w:r>
            <w:r>
              <w:rPr>
                <w:rFonts w:hint="eastAsia" w:ascii="宋体" w:hAnsi="宋体"/>
                <w:szCs w:val="21"/>
                <w:lang w:val="en-US" w:eastAsia="zh-CN"/>
              </w:rPr>
              <w:t>3</w:t>
            </w:r>
            <w:r>
              <w:rPr>
                <w:rFonts w:hint="eastAsia" w:ascii="宋体" w:hAnsi="宋体"/>
                <w:szCs w:val="21"/>
              </w:rPr>
              <w:t>人</w:t>
            </w:r>
          </w:p>
          <w:p>
            <w:pPr>
              <w:spacing w:line="400" w:lineRule="exact"/>
              <w:rPr>
                <w:rFonts w:ascii="宋体" w:hAnsi="宋体"/>
                <w:szCs w:val="21"/>
              </w:rPr>
            </w:pPr>
            <w:r>
              <w:rPr>
                <w:rFonts w:hint="eastAsia" w:ascii="宋体" w:hAnsi="宋体"/>
                <w:szCs w:val="21"/>
                <w:lang w:val="en-US" w:eastAsia="zh-CN"/>
              </w:rPr>
              <w:t>驾驶员</w:t>
            </w:r>
            <w:r>
              <w:rPr>
                <w:rFonts w:hint="eastAsia" w:ascii="宋体" w:hAnsi="宋体"/>
                <w:szCs w:val="21"/>
                <w:lang w:eastAsia="zh-CN"/>
              </w:rPr>
              <w:t>、</w:t>
            </w:r>
            <w:r>
              <w:rPr>
                <w:rFonts w:hint="eastAsia" w:ascii="宋体" w:hAnsi="宋体"/>
                <w:szCs w:val="21"/>
              </w:rPr>
              <w:t>销售人员。</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无</w:t>
            </w:r>
          </w:p>
        </w:tc>
        <w:tc>
          <w:tcPr>
            <w:tcW w:w="1356" w:type="dxa"/>
            <w:vAlign w:val="top"/>
          </w:tcPr>
          <w:p>
            <w:pPr>
              <w:spacing w:line="440" w:lineRule="exact"/>
              <w:jc w:val="left"/>
              <w:rPr>
                <w:rFonts w:hint="eastAsia" w:ascii="宋体" w:hAnsi="宋体" w:eastAsia="宋体" w:cs="Times New Roman"/>
                <w:kern w:val="2"/>
                <w:sz w:val="21"/>
                <w:szCs w:val="21"/>
                <w:lang w:val="en-US" w:eastAsia="zh-CN" w:bidi="ar-SA"/>
              </w:rPr>
            </w:pPr>
            <w:r>
              <w:rPr>
                <w:rFonts w:hint="eastAsia" w:ascii="宋体" w:hAnsi="宋体"/>
                <w:szCs w:val="21"/>
              </w:rPr>
              <w:t>Q/E/S:7.2</w:t>
            </w:r>
          </w:p>
        </w:tc>
        <w:tc>
          <w:tcPr>
            <w:tcW w:w="741" w:type="dxa"/>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3687" w:type="dxa"/>
            <w:vAlign w:val="top"/>
          </w:tcPr>
          <w:p>
            <w:pPr>
              <w:spacing w:line="400" w:lineRule="exact"/>
            </w:pPr>
            <w:r>
              <w:rPr>
                <w:rFonts w:hint="eastAsia" w:ascii="宋体" w:hAnsi="宋体"/>
                <w:szCs w:val="21"/>
              </w:rPr>
              <w:t>主要生产设备</w:t>
            </w:r>
          </w:p>
          <w:p>
            <w:pPr>
              <w:pStyle w:val="13"/>
              <w:rPr>
                <w:rFonts w:hint="default"/>
                <w:color w:val="auto"/>
                <w:kern w:val="2"/>
                <w:sz w:val="21"/>
                <w:szCs w:val="21"/>
              </w:rPr>
            </w:pPr>
            <w:r>
              <w:rPr>
                <w:color w:val="auto"/>
                <w:kern w:val="2"/>
                <w:sz w:val="21"/>
                <w:szCs w:val="21"/>
              </w:rPr>
              <w:t>库房</w:t>
            </w:r>
          </w:p>
          <w:p>
            <w:pPr>
              <w:spacing w:line="400" w:lineRule="exact"/>
              <w:rPr>
                <w:rFonts w:ascii="宋体" w:hAnsi="宋体"/>
                <w:szCs w:val="21"/>
              </w:rPr>
            </w:pPr>
            <w:r>
              <w:rPr>
                <w:rFonts w:hint="eastAsia" w:ascii="宋体" w:hAnsi="宋体"/>
                <w:szCs w:val="21"/>
              </w:rPr>
              <w:t>特种设备</w:t>
            </w:r>
          </w:p>
          <w:p>
            <w:pPr>
              <w:spacing w:line="400" w:lineRule="exact"/>
              <w:rPr>
                <w:szCs w:val="21"/>
              </w:rPr>
            </w:pPr>
            <w:r>
              <w:rPr>
                <w:rFonts w:hint="eastAsia"/>
                <w:szCs w:val="21"/>
              </w:rPr>
              <w:t>环保设施（EMS）</w:t>
            </w:r>
          </w:p>
          <w:p>
            <w:pPr>
              <w:spacing w:line="400" w:lineRule="exact"/>
              <w:rPr>
                <w:szCs w:val="21"/>
              </w:rPr>
            </w:pPr>
            <w:r>
              <w:rPr>
                <w:rFonts w:hint="eastAsia"/>
                <w:szCs w:val="21"/>
              </w:rPr>
              <w:t>安全设施（OHSMS）</w:t>
            </w:r>
          </w:p>
          <w:p>
            <w:pPr>
              <w:spacing w:line="400" w:lineRule="exact"/>
              <w:rPr>
                <w:szCs w:val="21"/>
              </w:rPr>
            </w:pPr>
            <w:r>
              <w:rPr>
                <w:rFonts w:hint="eastAsia"/>
                <w:szCs w:val="21"/>
              </w:rPr>
              <w:t>主要检测设备及设备的检定/校准（QMS）</w:t>
            </w:r>
          </w:p>
          <w:p>
            <w:pPr>
              <w:spacing w:line="400" w:lineRule="exact"/>
              <w:rPr>
                <w:szCs w:val="21"/>
              </w:rPr>
            </w:pPr>
            <w:r>
              <w:rPr>
                <w:rFonts w:hint="eastAsia"/>
                <w:szCs w:val="21"/>
              </w:rPr>
              <w:t>环保监测设备（EMS）</w:t>
            </w:r>
          </w:p>
          <w:p>
            <w:pPr>
              <w:spacing w:line="400" w:lineRule="exact"/>
              <w:rPr>
                <w:rFonts w:hint="eastAsia" w:ascii="Times New Roman" w:hAnsi="Times New Roman" w:eastAsia="宋体" w:cs="Times New Roman"/>
                <w:kern w:val="2"/>
                <w:sz w:val="21"/>
                <w:szCs w:val="21"/>
                <w:lang w:val="en-US" w:eastAsia="zh-CN" w:bidi="ar-SA"/>
              </w:rPr>
            </w:pPr>
            <w:r>
              <w:rPr>
                <w:rFonts w:hint="eastAsia"/>
                <w:szCs w:val="21"/>
              </w:rPr>
              <w:t>安全监测设备（OHSMS）</w:t>
            </w:r>
          </w:p>
        </w:tc>
        <w:tc>
          <w:tcPr>
            <w:tcW w:w="9134" w:type="dxa"/>
            <w:vAlign w:val="top"/>
          </w:tcPr>
          <w:p>
            <w:pPr>
              <w:spacing w:line="400" w:lineRule="exact"/>
              <w:rPr>
                <w:rFonts w:ascii="宋体" w:hAnsi="宋体"/>
                <w:szCs w:val="21"/>
              </w:rPr>
            </w:pPr>
            <w:r>
              <w:rPr>
                <w:rFonts w:hint="eastAsia" w:ascii="宋体" w:hAnsi="宋体" w:cs="宋体"/>
                <w:color w:val="000000"/>
                <w:szCs w:val="21"/>
              </w:rPr>
              <w:t>轻型厢式汽车、电脑及办公设备</w:t>
            </w:r>
            <w:r>
              <w:rPr>
                <w:rFonts w:hint="eastAsia" w:ascii="宋体" w:hAnsi="宋体"/>
                <w:szCs w:val="21"/>
              </w:rPr>
              <w:t>等。</w:t>
            </w:r>
          </w:p>
          <w:p>
            <w:pPr>
              <w:spacing w:line="400" w:lineRule="exact"/>
              <w:rPr>
                <w:rFonts w:ascii="宋体" w:hAnsi="宋体"/>
                <w:szCs w:val="21"/>
              </w:rPr>
            </w:pPr>
            <w:r>
              <w:rPr>
                <w:rFonts w:hint="eastAsia" w:ascii="宋体" w:hAnsi="宋体"/>
                <w:szCs w:val="21"/>
              </w:rPr>
              <w:t>库房</w:t>
            </w:r>
            <w:r>
              <w:rPr>
                <w:rFonts w:hint="eastAsia" w:ascii="宋体" w:hAnsi="宋体"/>
                <w:szCs w:val="21"/>
                <w:lang w:val="en-US" w:eastAsia="zh-CN"/>
              </w:rPr>
              <w:t>面积220平方（含面积120平方</w:t>
            </w:r>
            <w:r>
              <w:rPr>
                <w:rFonts w:hint="eastAsia" w:ascii="宋体" w:hAnsi="宋体"/>
                <w:szCs w:val="21"/>
              </w:rPr>
              <w:t>冻库</w:t>
            </w:r>
            <w:r>
              <w:rPr>
                <w:rFonts w:hint="eastAsia" w:ascii="宋体" w:hAnsi="宋体"/>
                <w:szCs w:val="21"/>
                <w:lang w:val="en-US" w:eastAsia="zh-CN"/>
              </w:rPr>
              <w:t>1个）</w:t>
            </w:r>
            <w:r>
              <w:rPr>
                <w:rFonts w:hint="eastAsia" w:ascii="宋体" w:hAnsi="宋体"/>
                <w:szCs w:val="21"/>
              </w:rPr>
              <w:t>。</w:t>
            </w:r>
          </w:p>
          <w:p>
            <w:pPr>
              <w:spacing w:line="400" w:lineRule="exact"/>
              <w:rPr>
                <w:rFonts w:ascii="宋体" w:hAnsi="宋体"/>
                <w:szCs w:val="21"/>
              </w:rPr>
            </w:pPr>
            <w:r>
              <w:rPr>
                <w:rFonts w:hint="eastAsia" w:ascii="宋体" w:hAnsi="宋体"/>
                <w:szCs w:val="21"/>
              </w:rPr>
              <w:t>无</w:t>
            </w:r>
          </w:p>
          <w:p>
            <w:pPr>
              <w:spacing w:line="400" w:lineRule="exact"/>
              <w:rPr>
                <w:szCs w:val="21"/>
              </w:rPr>
            </w:pPr>
            <w:r>
              <w:rPr>
                <w:rFonts w:hint="eastAsia"/>
                <w:szCs w:val="21"/>
              </w:rPr>
              <w:t>消防栓、灭火器</w:t>
            </w:r>
          </w:p>
          <w:p>
            <w:pPr>
              <w:spacing w:line="400" w:lineRule="exact"/>
              <w:rPr>
                <w:szCs w:val="21"/>
              </w:rPr>
            </w:pPr>
            <w:r>
              <w:rPr>
                <w:rFonts w:hint="eastAsia"/>
                <w:szCs w:val="21"/>
              </w:rPr>
              <w:t>配电箱、空开</w:t>
            </w:r>
          </w:p>
          <w:p>
            <w:pPr>
              <w:spacing w:line="400" w:lineRule="exact"/>
              <w:rPr>
                <w:szCs w:val="21"/>
              </w:rPr>
            </w:pPr>
            <w:r>
              <w:rPr>
                <w:rFonts w:hint="eastAsia"/>
                <w:szCs w:val="21"/>
              </w:rPr>
              <w:t>无，采取以供方出具的产品检测报告为验收依据，进行核验，最终产品质量由顾客确认，暂未配置检测设备</w:t>
            </w:r>
            <w:r>
              <w:rPr>
                <w:rFonts w:hint="eastAsia" w:ascii="宋体" w:hAnsi="宋体" w:cs="宋体"/>
                <w:szCs w:val="21"/>
              </w:rPr>
              <w:t>。</w:t>
            </w:r>
          </w:p>
          <w:p>
            <w:pPr>
              <w:spacing w:line="400" w:lineRule="exact"/>
              <w:rPr>
                <w:szCs w:val="21"/>
              </w:rPr>
            </w:pPr>
            <w:r>
              <w:rPr>
                <w:rFonts w:hint="eastAsia"/>
                <w:szCs w:val="21"/>
              </w:rPr>
              <w:t>无</w:t>
            </w:r>
          </w:p>
          <w:p>
            <w:pPr>
              <w:spacing w:line="400" w:lineRule="exact"/>
              <w:rPr>
                <w:rFonts w:hint="eastAsia" w:ascii="Times New Roman" w:hAnsi="Times New Roman" w:eastAsia="宋体" w:cs="Times New Roman"/>
                <w:kern w:val="2"/>
                <w:sz w:val="21"/>
                <w:szCs w:val="21"/>
                <w:lang w:val="en-US" w:eastAsia="zh-CN" w:bidi="ar-SA"/>
              </w:rPr>
            </w:pPr>
            <w:r>
              <w:rPr>
                <w:rFonts w:hint="eastAsia"/>
                <w:szCs w:val="21"/>
              </w:rPr>
              <w:t>无</w:t>
            </w:r>
          </w:p>
        </w:tc>
        <w:tc>
          <w:tcPr>
            <w:tcW w:w="1356" w:type="dxa"/>
            <w:vAlign w:val="top"/>
          </w:tcPr>
          <w:p>
            <w:pPr>
              <w:spacing w:line="440" w:lineRule="exact"/>
              <w:jc w:val="left"/>
              <w:rPr>
                <w:rFonts w:ascii="宋体" w:hAnsi="宋体"/>
                <w:szCs w:val="21"/>
              </w:rPr>
            </w:pPr>
            <w:r>
              <w:rPr>
                <w:rFonts w:hint="eastAsia" w:ascii="宋体" w:hAnsi="宋体"/>
                <w:szCs w:val="21"/>
              </w:rPr>
              <w:t>Q/E/S:7.1</w:t>
            </w:r>
          </w:p>
          <w:p>
            <w:pPr>
              <w:spacing w:line="440" w:lineRule="exact"/>
              <w:rPr>
                <w:rFonts w:ascii="宋体" w:hAnsi="宋体"/>
                <w:szCs w:val="21"/>
              </w:rPr>
            </w:pPr>
            <w:r>
              <w:rPr>
                <w:rFonts w:hint="eastAsia" w:ascii="宋体" w:hAnsi="宋体"/>
                <w:szCs w:val="21"/>
              </w:rPr>
              <w:t>Q7.1.3</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hint="eastAsia" w:ascii="宋体" w:hAnsi="宋体" w:eastAsia="宋体" w:cs="Times New Roman"/>
                <w:kern w:val="2"/>
                <w:sz w:val="21"/>
                <w:szCs w:val="21"/>
                <w:lang w:val="en-US" w:eastAsia="zh-CN" w:bidi="ar-SA"/>
              </w:rPr>
            </w:pPr>
          </w:p>
        </w:tc>
        <w:tc>
          <w:tcPr>
            <w:tcW w:w="741" w:type="dxa"/>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rPr>
            </w:pPr>
            <w:r>
              <w:rPr>
                <w:rFonts w:hint="eastAsia" w:ascii="宋体" w:hAnsi="宋体"/>
                <w:szCs w:val="21"/>
              </w:rPr>
              <w:t>周边环境（EMS）</w:t>
            </w:r>
          </w:p>
          <w:p>
            <w:pPr>
              <w:spacing w:line="400" w:lineRule="exact"/>
              <w:rPr>
                <w:rFonts w:ascii="宋体" w:hAnsi="宋体"/>
                <w:szCs w:val="21"/>
              </w:rPr>
            </w:pPr>
            <w:r>
              <w:rPr>
                <w:rFonts w:hint="eastAsia" w:ascii="宋体" w:hAnsi="宋体"/>
                <w:szCs w:val="21"/>
              </w:rPr>
              <w:t>场区布局（一级风险）</w:t>
            </w:r>
          </w:p>
          <w:p>
            <w:pPr>
              <w:spacing w:line="400" w:lineRule="exact"/>
              <w:rPr>
                <w:rFonts w:ascii="宋体" w:hAnsi="宋体"/>
                <w:szCs w:val="21"/>
              </w:rPr>
            </w:pPr>
            <w:r>
              <w:rPr>
                <w:rFonts w:hint="eastAsia" w:ascii="宋体" w:hAnsi="宋体"/>
                <w:szCs w:val="21"/>
              </w:rPr>
              <w:t>排污口及排污管网（一级风险）</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关注动力装置场所、危险化学品仓库、固废堆放场所</w:t>
            </w:r>
          </w:p>
        </w:tc>
        <w:tc>
          <w:tcPr>
            <w:tcW w:w="9134" w:type="dxa"/>
            <w:vAlign w:val="top"/>
          </w:tcPr>
          <w:p>
            <w:pPr>
              <w:spacing w:line="400" w:lineRule="exact"/>
              <w:rPr>
                <w:rFonts w:ascii="宋体" w:hAnsi="宋体"/>
                <w:szCs w:val="21"/>
              </w:rPr>
            </w:pPr>
            <w:r>
              <w:rPr>
                <w:rFonts w:hint="eastAsia" w:ascii="宋体" w:hAnsi="宋体"/>
                <w:szCs w:val="21"/>
              </w:rPr>
              <w:t>在商业区内</w:t>
            </w:r>
          </w:p>
          <w:p>
            <w:pPr>
              <w:spacing w:line="400" w:lineRule="exact"/>
              <w:rPr>
                <w:rFonts w:ascii="宋体" w:hAnsi="宋体"/>
                <w:szCs w:val="21"/>
              </w:rPr>
            </w:pPr>
          </w:p>
          <w:p>
            <w:pPr>
              <w:spacing w:line="400" w:lineRule="exact"/>
              <w:rPr>
                <w:rFonts w:hint="eastAsia" w:ascii="宋体" w:hAnsi="宋体" w:eastAsia="宋体" w:cs="Times New Roman"/>
                <w:kern w:val="2"/>
                <w:sz w:val="21"/>
                <w:szCs w:val="21"/>
                <w:lang w:val="en-US" w:eastAsia="zh-CN" w:bidi="ar-SA"/>
              </w:rPr>
            </w:pPr>
          </w:p>
        </w:tc>
        <w:tc>
          <w:tcPr>
            <w:tcW w:w="1356" w:type="dxa"/>
            <w:vAlign w:val="top"/>
          </w:tcPr>
          <w:p>
            <w:pPr>
              <w:spacing w:line="440" w:lineRule="exact"/>
              <w:jc w:val="center"/>
              <w:rPr>
                <w:rFonts w:hint="eastAsia" w:ascii="宋体" w:hAnsi="宋体" w:eastAsia="宋体" w:cs="Times New Roman"/>
                <w:kern w:val="2"/>
                <w:sz w:val="21"/>
                <w:szCs w:val="21"/>
                <w:lang w:val="en-US" w:eastAsia="zh-CN" w:bidi="ar-SA"/>
              </w:rPr>
            </w:pPr>
          </w:p>
        </w:tc>
        <w:tc>
          <w:tcPr>
            <w:tcW w:w="741" w:type="dxa"/>
            <w:vAlign w:val="top"/>
          </w:tcPr>
          <w:p>
            <w:pPr>
              <w:spacing w:line="440" w:lineRule="exact"/>
              <w:jc w:val="center"/>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顾客及相关方投诉</w:t>
            </w:r>
          </w:p>
        </w:tc>
        <w:tc>
          <w:tcPr>
            <w:tcW w:w="9134"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暂无</w:t>
            </w:r>
          </w:p>
        </w:tc>
        <w:tc>
          <w:tcPr>
            <w:tcW w:w="1356" w:type="dxa"/>
            <w:vAlign w:val="top"/>
          </w:tcPr>
          <w:p>
            <w:pPr>
              <w:spacing w:line="440" w:lineRule="exact"/>
              <w:jc w:val="left"/>
              <w:rPr>
                <w:rFonts w:hint="eastAsia" w:ascii="宋体" w:hAnsi="宋体" w:eastAsia="宋体" w:cs="Times New Roman"/>
                <w:kern w:val="2"/>
                <w:sz w:val="21"/>
                <w:szCs w:val="21"/>
                <w:lang w:val="en-US" w:eastAsia="zh-CN" w:bidi="ar-SA"/>
              </w:rPr>
            </w:pPr>
            <w:r>
              <w:rPr>
                <w:rFonts w:hint="eastAsia" w:ascii="宋体" w:hAnsi="宋体"/>
                <w:szCs w:val="21"/>
              </w:rPr>
              <w:t>Q/E/S:10.2</w:t>
            </w:r>
          </w:p>
        </w:tc>
        <w:tc>
          <w:tcPr>
            <w:tcW w:w="741" w:type="dxa"/>
            <w:vAlign w:val="top"/>
          </w:tcPr>
          <w:p>
            <w:pPr>
              <w:spacing w:line="440" w:lineRule="exact"/>
              <w:jc w:val="center"/>
              <w:rPr>
                <w:rFonts w:hint="eastAsia" w:ascii="宋体" w:hAnsi="宋体" w:eastAsia="宋体" w:cs="Times New Roman"/>
                <w:kern w:val="2"/>
                <w:sz w:val="21"/>
                <w:szCs w:val="21"/>
                <w:lang w:val="en-US" w:eastAsia="zh-CN" w:bidi="ar-SA"/>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adjustRightInd w:val="0"/>
              <w:spacing w:line="400" w:lineRule="exact"/>
              <w:textAlignment w:val="baseline"/>
              <w:rPr>
                <w:rFonts w:ascii="宋体" w:hAnsi="宋体"/>
                <w:kern w:val="0"/>
                <w:szCs w:val="21"/>
              </w:rPr>
            </w:pPr>
            <w:r>
              <w:rPr>
                <w:rFonts w:hint="eastAsia" w:ascii="宋体" w:hAnsi="宋体"/>
                <w:kern w:val="0"/>
                <w:szCs w:val="21"/>
              </w:rPr>
              <w:t>是否具备二阶段审核结论</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hint="eastAsia" w:ascii="宋体" w:hAnsi="宋体" w:eastAsia="宋体" w:cs="Times New Roman"/>
                <w:kern w:val="0"/>
                <w:sz w:val="21"/>
                <w:szCs w:val="21"/>
                <w:lang w:val="en-US" w:eastAsia="zh-CN" w:bidi="ar-SA"/>
              </w:rPr>
            </w:pPr>
            <w:r>
              <w:rPr>
                <w:rFonts w:hint="eastAsia" w:ascii="宋体" w:hAnsi="宋体"/>
                <w:kern w:val="0"/>
                <w:szCs w:val="21"/>
              </w:rPr>
              <w:t>第二阶段重要审核点等相关内容</w:t>
            </w:r>
          </w:p>
        </w:tc>
        <w:tc>
          <w:tcPr>
            <w:tcW w:w="9134" w:type="dxa"/>
            <w:vAlign w:val="top"/>
          </w:tcPr>
          <w:p>
            <w:pPr>
              <w:adjustRightInd w:val="0"/>
              <w:snapToGrid w:val="0"/>
              <w:rPr>
                <w:rFonts w:ascii="宋体" w:hAnsi="宋体"/>
                <w:szCs w:val="21"/>
              </w:rPr>
            </w:pPr>
            <w:r>
              <w:rPr>
                <w:rFonts w:hint="eastAsia" w:ascii="宋体" w:hAnsi="宋体"/>
                <w:szCs w:val="21"/>
              </w:rPr>
              <w:t>通过一阶段对受审核方的管理、办公现场巡视和观察，对管理体系绩效要求有重大影响的过程、活动、场所和现场运行进行观察、巡视及总体性评价，组织具备二阶段审核条件，可进行二阶段审核。</w:t>
            </w: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二阶段质量管理体系宜重点关注（合同评审、采购控制、销售服务等）</w:t>
            </w:r>
          </w:p>
          <w:p>
            <w:pPr>
              <w:adjustRightInd w:val="0"/>
              <w:snapToGrid w:val="0"/>
              <w:rPr>
                <w:rFonts w:ascii="宋体" w:hAnsi="宋体"/>
                <w:szCs w:val="21"/>
              </w:rPr>
            </w:pPr>
            <w:r>
              <w:rPr>
                <w:rFonts w:hint="eastAsia" w:ascii="宋体" w:hAnsi="宋体"/>
                <w:szCs w:val="21"/>
              </w:rPr>
              <w:t>重点审核部门：</w:t>
            </w:r>
            <w:r>
              <w:rPr>
                <w:rFonts w:hint="eastAsia" w:ascii="宋体" w:hAnsi="宋体"/>
                <w:szCs w:val="21"/>
                <w:lang w:val="en-US" w:eastAsia="zh-CN"/>
              </w:rPr>
              <w:t>销售</w:t>
            </w:r>
            <w:r>
              <w:rPr>
                <w:rFonts w:hint="eastAsia" w:ascii="宋体" w:hAnsi="宋体"/>
                <w:szCs w:val="21"/>
              </w:rPr>
              <w:t>部</w:t>
            </w:r>
          </w:p>
          <w:p>
            <w:pPr>
              <w:adjustRightInd w:val="0"/>
              <w:snapToGrid w:val="0"/>
              <w:rPr>
                <w:rFonts w:ascii="宋体" w:hAnsi="宋体"/>
                <w:szCs w:val="21"/>
              </w:rPr>
            </w:pPr>
            <w:r>
              <w:rPr>
                <w:rFonts w:hint="eastAsia" w:ascii="宋体" w:hAnsi="宋体"/>
                <w:szCs w:val="21"/>
              </w:rPr>
              <w:t>重点审核过程：产品销售和服务提供控制、顾客满意；产品和服务放行、不合格产品控制等。</w:t>
            </w:r>
          </w:p>
          <w:p>
            <w:pPr>
              <w:adjustRightInd w:val="0"/>
              <w:snapToGrid w:val="0"/>
              <w:rPr>
                <w:rFonts w:hint="eastAsia" w:ascii="宋体" w:hAnsi="宋体" w:eastAsia="宋体" w:cs="Times New Roman"/>
                <w:kern w:val="0"/>
                <w:sz w:val="21"/>
                <w:szCs w:val="21"/>
                <w:lang w:val="en-US" w:eastAsia="zh-CN" w:bidi="ar-SA"/>
              </w:rPr>
            </w:pPr>
            <w:r>
              <w:rPr>
                <w:rFonts w:hint="eastAsia" w:ascii="宋体" w:hAnsi="宋体"/>
                <w:szCs w:val="21"/>
              </w:rPr>
              <w:t>重点审核场所：办公</w:t>
            </w:r>
            <w:r>
              <w:rPr>
                <w:rFonts w:hint="eastAsia" w:ascii="宋体" w:hAnsi="宋体"/>
                <w:szCs w:val="21"/>
                <w:lang w:val="en-US" w:eastAsia="zh-CN"/>
              </w:rPr>
              <w:t>场所</w:t>
            </w:r>
            <w:r>
              <w:rPr>
                <w:rFonts w:hint="eastAsia" w:ascii="宋体" w:hAnsi="宋体"/>
                <w:szCs w:val="21"/>
              </w:rPr>
              <w:t>。</w:t>
            </w:r>
          </w:p>
        </w:tc>
        <w:tc>
          <w:tcPr>
            <w:tcW w:w="1356" w:type="dxa"/>
            <w:vAlign w:val="top"/>
          </w:tcPr>
          <w:p>
            <w:pPr>
              <w:adjustRightInd w:val="0"/>
              <w:snapToGrid w:val="0"/>
              <w:rPr>
                <w:rFonts w:hint="eastAsia" w:ascii="宋体" w:hAnsi="宋体" w:eastAsia="宋体" w:cs="Times New Roman"/>
                <w:kern w:val="2"/>
                <w:sz w:val="21"/>
                <w:szCs w:val="21"/>
                <w:lang w:val="en-US" w:eastAsia="zh-CN" w:bidi="ar-SA"/>
              </w:rPr>
            </w:pPr>
          </w:p>
        </w:tc>
        <w:tc>
          <w:tcPr>
            <w:tcW w:w="741" w:type="dxa"/>
            <w:vAlign w:val="top"/>
          </w:tcPr>
          <w:p>
            <w:pPr>
              <w:spacing w:line="440" w:lineRule="exact"/>
              <w:jc w:val="center"/>
              <w:rPr>
                <w:rFonts w:hint="eastAsia" w:ascii="宋体" w:hAnsi="宋体" w:eastAsia="宋体" w:cs="Times New Roman"/>
                <w:kern w:val="2"/>
                <w:sz w:val="21"/>
                <w:szCs w:val="21"/>
                <w:lang w:val="en-US" w:eastAsia="zh-CN" w:bidi="ar-SA"/>
              </w:rPr>
            </w:pPr>
          </w:p>
        </w:tc>
      </w:tr>
    </w:tbl>
    <w:p>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r>
        <w:ptab w:relativeTo="margin" w:alignment="center" w:leader="none"/>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1"/>
      </w:pBdr>
      <w:spacing w:line="320" w:lineRule="exact"/>
      <w:ind w:firstLine="720" w:firstLineChars="400"/>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7"/>
        <w:rFonts w:hint="default"/>
        <w:w w:val="90"/>
      </w:rPr>
      <w:t>Beijing International Standard united Certification Co.,Ltd.</w:t>
    </w: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6E21"/>
    <w:rsid w:val="0003373A"/>
    <w:rsid w:val="0003666F"/>
    <w:rsid w:val="00077182"/>
    <w:rsid w:val="00084386"/>
    <w:rsid w:val="000B1F50"/>
    <w:rsid w:val="000C0711"/>
    <w:rsid w:val="00105A91"/>
    <w:rsid w:val="001A2D7F"/>
    <w:rsid w:val="001F5FC8"/>
    <w:rsid w:val="002B6B8C"/>
    <w:rsid w:val="00301ADF"/>
    <w:rsid w:val="00337922"/>
    <w:rsid w:val="00340867"/>
    <w:rsid w:val="00380837"/>
    <w:rsid w:val="0039337B"/>
    <w:rsid w:val="003B2665"/>
    <w:rsid w:val="003C6DA1"/>
    <w:rsid w:val="003D0050"/>
    <w:rsid w:val="003F3AF2"/>
    <w:rsid w:val="00405E02"/>
    <w:rsid w:val="00407627"/>
    <w:rsid w:val="00410914"/>
    <w:rsid w:val="004814B4"/>
    <w:rsid w:val="004E2167"/>
    <w:rsid w:val="00536930"/>
    <w:rsid w:val="00564E53"/>
    <w:rsid w:val="00590B18"/>
    <w:rsid w:val="005F08EC"/>
    <w:rsid w:val="00603BE2"/>
    <w:rsid w:val="00624BCF"/>
    <w:rsid w:val="00631E3F"/>
    <w:rsid w:val="00644FE2"/>
    <w:rsid w:val="0067640C"/>
    <w:rsid w:val="006776F7"/>
    <w:rsid w:val="00691D38"/>
    <w:rsid w:val="006E678B"/>
    <w:rsid w:val="006F08B1"/>
    <w:rsid w:val="007345CC"/>
    <w:rsid w:val="0075447B"/>
    <w:rsid w:val="007757F3"/>
    <w:rsid w:val="007851D6"/>
    <w:rsid w:val="007D1240"/>
    <w:rsid w:val="007E6AEB"/>
    <w:rsid w:val="00824194"/>
    <w:rsid w:val="00871C15"/>
    <w:rsid w:val="008973EE"/>
    <w:rsid w:val="008C7D6A"/>
    <w:rsid w:val="008D6159"/>
    <w:rsid w:val="00962F40"/>
    <w:rsid w:val="00971600"/>
    <w:rsid w:val="009973B4"/>
    <w:rsid w:val="009F7EED"/>
    <w:rsid w:val="00A608A8"/>
    <w:rsid w:val="00AA60F8"/>
    <w:rsid w:val="00AC3A96"/>
    <w:rsid w:val="00AF0AAB"/>
    <w:rsid w:val="00B258C1"/>
    <w:rsid w:val="00B2778C"/>
    <w:rsid w:val="00B40DF4"/>
    <w:rsid w:val="00B46436"/>
    <w:rsid w:val="00BA70EA"/>
    <w:rsid w:val="00BC384E"/>
    <w:rsid w:val="00BF597E"/>
    <w:rsid w:val="00C51A36"/>
    <w:rsid w:val="00C55228"/>
    <w:rsid w:val="00CA45E2"/>
    <w:rsid w:val="00CE315A"/>
    <w:rsid w:val="00D06F59"/>
    <w:rsid w:val="00D8388C"/>
    <w:rsid w:val="00D93A54"/>
    <w:rsid w:val="00E250F2"/>
    <w:rsid w:val="00E30B07"/>
    <w:rsid w:val="00E74966"/>
    <w:rsid w:val="00EB0164"/>
    <w:rsid w:val="00ED0F62"/>
    <w:rsid w:val="00F71ED3"/>
    <w:rsid w:val="00F86205"/>
    <w:rsid w:val="00F92A10"/>
    <w:rsid w:val="00FD77A8"/>
    <w:rsid w:val="011918D5"/>
    <w:rsid w:val="01FD2F8F"/>
    <w:rsid w:val="02914DB0"/>
    <w:rsid w:val="02FE79AF"/>
    <w:rsid w:val="03007B7B"/>
    <w:rsid w:val="078D6CA6"/>
    <w:rsid w:val="08A46BAD"/>
    <w:rsid w:val="09B92F09"/>
    <w:rsid w:val="09F945D6"/>
    <w:rsid w:val="0A913774"/>
    <w:rsid w:val="0AA54F4C"/>
    <w:rsid w:val="0CE24FBA"/>
    <w:rsid w:val="0CF13D82"/>
    <w:rsid w:val="0D0A51CF"/>
    <w:rsid w:val="0D1C33EC"/>
    <w:rsid w:val="0D714F8D"/>
    <w:rsid w:val="0E25209A"/>
    <w:rsid w:val="0E4038B6"/>
    <w:rsid w:val="0F083958"/>
    <w:rsid w:val="10584347"/>
    <w:rsid w:val="108219C2"/>
    <w:rsid w:val="10B15952"/>
    <w:rsid w:val="10BA3FA3"/>
    <w:rsid w:val="132D5537"/>
    <w:rsid w:val="13AD1CDF"/>
    <w:rsid w:val="13F86CC6"/>
    <w:rsid w:val="14DB0526"/>
    <w:rsid w:val="173A44ED"/>
    <w:rsid w:val="188A5B45"/>
    <w:rsid w:val="18F3496B"/>
    <w:rsid w:val="19C315EE"/>
    <w:rsid w:val="1A3165D0"/>
    <w:rsid w:val="1A7412E6"/>
    <w:rsid w:val="1ADB1E14"/>
    <w:rsid w:val="1B0A383C"/>
    <w:rsid w:val="1B883AC7"/>
    <w:rsid w:val="1BF94737"/>
    <w:rsid w:val="1C9555C2"/>
    <w:rsid w:val="1D5C04E8"/>
    <w:rsid w:val="1F420E47"/>
    <w:rsid w:val="20205300"/>
    <w:rsid w:val="20741E17"/>
    <w:rsid w:val="22182E2B"/>
    <w:rsid w:val="22873E91"/>
    <w:rsid w:val="22880FC5"/>
    <w:rsid w:val="23CF173A"/>
    <w:rsid w:val="247567D5"/>
    <w:rsid w:val="2699614F"/>
    <w:rsid w:val="271B23FF"/>
    <w:rsid w:val="27845C79"/>
    <w:rsid w:val="284A3DE3"/>
    <w:rsid w:val="285C040E"/>
    <w:rsid w:val="288A6EBF"/>
    <w:rsid w:val="2A1B1879"/>
    <w:rsid w:val="2AE23791"/>
    <w:rsid w:val="2C7E3CD6"/>
    <w:rsid w:val="2D453746"/>
    <w:rsid w:val="2D89725D"/>
    <w:rsid w:val="2E337362"/>
    <w:rsid w:val="2E8F3862"/>
    <w:rsid w:val="2ECF72A4"/>
    <w:rsid w:val="2EF57FB6"/>
    <w:rsid w:val="2F09530F"/>
    <w:rsid w:val="2F7E1CB4"/>
    <w:rsid w:val="31D15F9B"/>
    <w:rsid w:val="32AF550F"/>
    <w:rsid w:val="32E72F3A"/>
    <w:rsid w:val="32F340D2"/>
    <w:rsid w:val="33E514FD"/>
    <w:rsid w:val="33EE5BC9"/>
    <w:rsid w:val="34071B60"/>
    <w:rsid w:val="346041F3"/>
    <w:rsid w:val="348A1928"/>
    <w:rsid w:val="34B3178E"/>
    <w:rsid w:val="34FB51F4"/>
    <w:rsid w:val="350E46E6"/>
    <w:rsid w:val="35424DD4"/>
    <w:rsid w:val="35B4109E"/>
    <w:rsid w:val="36513486"/>
    <w:rsid w:val="36BA30AC"/>
    <w:rsid w:val="36EF03C4"/>
    <w:rsid w:val="37F37F6B"/>
    <w:rsid w:val="39C2609E"/>
    <w:rsid w:val="3A0069CD"/>
    <w:rsid w:val="3B580DF2"/>
    <w:rsid w:val="3CFE2C36"/>
    <w:rsid w:val="3D31019E"/>
    <w:rsid w:val="3DD61C5E"/>
    <w:rsid w:val="3E4A2DC0"/>
    <w:rsid w:val="3F0653EB"/>
    <w:rsid w:val="3F480834"/>
    <w:rsid w:val="3F60400C"/>
    <w:rsid w:val="41242052"/>
    <w:rsid w:val="413661E7"/>
    <w:rsid w:val="4389789A"/>
    <w:rsid w:val="444E487B"/>
    <w:rsid w:val="45292AD5"/>
    <w:rsid w:val="45517238"/>
    <w:rsid w:val="455A5412"/>
    <w:rsid w:val="4564559E"/>
    <w:rsid w:val="459668DE"/>
    <w:rsid w:val="45BB551D"/>
    <w:rsid w:val="45DA5BCB"/>
    <w:rsid w:val="45F23538"/>
    <w:rsid w:val="470432A0"/>
    <w:rsid w:val="47481F35"/>
    <w:rsid w:val="477E0840"/>
    <w:rsid w:val="492C416A"/>
    <w:rsid w:val="49842208"/>
    <w:rsid w:val="49874987"/>
    <w:rsid w:val="49B85AD4"/>
    <w:rsid w:val="49FF500E"/>
    <w:rsid w:val="4A090ABD"/>
    <w:rsid w:val="4C02538B"/>
    <w:rsid w:val="4C661386"/>
    <w:rsid w:val="4D5D2780"/>
    <w:rsid w:val="4EBA1767"/>
    <w:rsid w:val="4F6607E7"/>
    <w:rsid w:val="4FD16FE5"/>
    <w:rsid w:val="50766997"/>
    <w:rsid w:val="5288776B"/>
    <w:rsid w:val="52CA5724"/>
    <w:rsid w:val="536F1793"/>
    <w:rsid w:val="53E11F8E"/>
    <w:rsid w:val="54A07C25"/>
    <w:rsid w:val="55840B11"/>
    <w:rsid w:val="559A497A"/>
    <w:rsid w:val="55B42C0A"/>
    <w:rsid w:val="56370A61"/>
    <w:rsid w:val="5744437D"/>
    <w:rsid w:val="574E1C45"/>
    <w:rsid w:val="593E1911"/>
    <w:rsid w:val="59BB58D0"/>
    <w:rsid w:val="5ACB5424"/>
    <w:rsid w:val="5B410F90"/>
    <w:rsid w:val="5BBF79FD"/>
    <w:rsid w:val="5BEE76B0"/>
    <w:rsid w:val="5C212B36"/>
    <w:rsid w:val="5CA03390"/>
    <w:rsid w:val="5CE93D4A"/>
    <w:rsid w:val="5DA63035"/>
    <w:rsid w:val="5DD9588B"/>
    <w:rsid w:val="5DD95D6A"/>
    <w:rsid w:val="5DE618CE"/>
    <w:rsid w:val="5EA12B9A"/>
    <w:rsid w:val="5EB30D04"/>
    <w:rsid w:val="6016437E"/>
    <w:rsid w:val="60510DC9"/>
    <w:rsid w:val="60C11730"/>
    <w:rsid w:val="60D73480"/>
    <w:rsid w:val="610B77DC"/>
    <w:rsid w:val="618F7DA1"/>
    <w:rsid w:val="61BB584A"/>
    <w:rsid w:val="629042E0"/>
    <w:rsid w:val="630228D7"/>
    <w:rsid w:val="63D418E4"/>
    <w:rsid w:val="64614455"/>
    <w:rsid w:val="64BD0F71"/>
    <w:rsid w:val="652E238C"/>
    <w:rsid w:val="65922A06"/>
    <w:rsid w:val="65C26CFD"/>
    <w:rsid w:val="65C31127"/>
    <w:rsid w:val="66780237"/>
    <w:rsid w:val="67127677"/>
    <w:rsid w:val="67A91452"/>
    <w:rsid w:val="67C24104"/>
    <w:rsid w:val="680B3CFE"/>
    <w:rsid w:val="68A13467"/>
    <w:rsid w:val="68B724F7"/>
    <w:rsid w:val="69EC0103"/>
    <w:rsid w:val="69F2515B"/>
    <w:rsid w:val="6B2A3D7C"/>
    <w:rsid w:val="6D324DEA"/>
    <w:rsid w:val="6D394630"/>
    <w:rsid w:val="6DE04217"/>
    <w:rsid w:val="6E4C7F64"/>
    <w:rsid w:val="6EFB5A49"/>
    <w:rsid w:val="708F5CE8"/>
    <w:rsid w:val="70B87701"/>
    <w:rsid w:val="718965A6"/>
    <w:rsid w:val="718E17BF"/>
    <w:rsid w:val="722B4BCB"/>
    <w:rsid w:val="72DA0412"/>
    <w:rsid w:val="755D588B"/>
    <w:rsid w:val="75F739C3"/>
    <w:rsid w:val="76AE5983"/>
    <w:rsid w:val="77393AAD"/>
    <w:rsid w:val="777D19F5"/>
    <w:rsid w:val="77B86625"/>
    <w:rsid w:val="77CB0585"/>
    <w:rsid w:val="78D94033"/>
    <w:rsid w:val="7A144B62"/>
    <w:rsid w:val="7B53416D"/>
    <w:rsid w:val="7C0D225F"/>
    <w:rsid w:val="7CDF6DCF"/>
    <w:rsid w:val="7D5151E7"/>
    <w:rsid w:val="7D845F64"/>
    <w:rsid w:val="7E126EB0"/>
    <w:rsid w:val="7F1E3587"/>
    <w:rsid w:val="7F797469"/>
    <w:rsid w:val="7F9D19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Normal Indent"/>
    <w:basedOn w:val="1"/>
    <w:qFormat/>
    <w:uiPriority w:val="0"/>
    <w:pPr>
      <w:ind w:firstLine="420"/>
    </w:pPr>
    <w:rPr>
      <w:szCs w:val="20"/>
    </w:rPr>
  </w:style>
  <w:style w:type="paragraph" w:styleId="5">
    <w:name w:val="Body Text Indent"/>
    <w:basedOn w:val="1"/>
    <w:qFormat/>
    <w:uiPriority w:val="0"/>
    <w:pPr>
      <w:spacing w:line="560" w:lineRule="exact"/>
      <w:ind w:firstLine="560" w:firstLineChars="200"/>
    </w:pPr>
    <w:rPr>
      <w:sz w:val="28"/>
    </w:rPr>
  </w:style>
  <w:style w:type="paragraph" w:styleId="6">
    <w:name w:val="Plain Text"/>
    <w:basedOn w:val="1"/>
    <w:qFormat/>
    <w:uiPriority w:val="99"/>
    <w:rPr>
      <w:rFonts w:ascii="宋体" w:hAnsi="Courier New"/>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character" w:styleId="12">
    <w:name w:val="Strong"/>
    <w:basedOn w:val="11"/>
    <w:qFormat/>
    <w:uiPriority w:val="0"/>
    <w:rPr>
      <w:b/>
    </w:rPr>
  </w:style>
  <w:style w:type="paragraph" w:customStyle="1" w:styleId="13">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4">
    <w:name w:val="页眉 Char"/>
    <w:basedOn w:val="11"/>
    <w:link w:val="9"/>
    <w:qFormat/>
    <w:uiPriority w:val="99"/>
    <w:rPr>
      <w:rFonts w:ascii="Times New Roman" w:hAnsi="Times New Roman" w:eastAsia="宋体" w:cs="Times New Roman"/>
      <w:sz w:val="18"/>
      <w:szCs w:val="18"/>
    </w:rPr>
  </w:style>
  <w:style w:type="character" w:customStyle="1" w:styleId="15">
    <w:name w:val="页脚 Char"/>
    <w:basedOn w:val="11"/>
    <w:link w:val="8"/>
    <w:qFormat/>
    <w:uiPriority w:val="99"/>
    <w:rPr>
      <w:rFonts w:ascii="Times New Roman" w:hAnsi="Times New Roman" w:eastAsia="宋体" w:cs="Times New Roman"/>
      <w:sz w:val="18"/>
      <w:szCs w:val="18"/>
    </w:rPr>
  </w:style>
  <w:style w:type="character" w:customStyle="1" w:styleId="16">
    <w:name w:val="批注框文本 Char"/>
    <w:basedOn w:val="11"/>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346</Words>
  <Characters>1973</Characters>
  <Lines>16</Lines>
  <Paragraphs>4</Paragraphs>
  <TotalTime>4</TotalTime>
  <ScaleCrop>false</ScaleCrop>
  <LinksUpToDate>false</LinksUpToDate>
  <CharactersWithSpaces>2315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2021-01-07T10:20:01Z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