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640" w:firstLineChars="2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陕西华骏机械制造有限责任公司</w:t>
      </w:r>
      <w:bookmarkEnd w:id="1"/>
    </w:p>
    <w:p>
      <w:pPr>
        <w:spacing w:line="360" w:lineRule="auto"/>
        <w:ind w:firstLine="960" w:firstLineChars="200"/>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0194-2019-2020</w:t>
      </w:r>
      <w:bookmarkEnd w:id="2"/>
    </w:p>
    <w:p>
      <w:pPr>
        <w:spacing w:line="360" w:lineRule="auto"/>
        <w:ind w:firstLine="480" w:firstLineChars="100"/>
        <w:jc w:val="left"/>
        <w:rPr>
          <w:rFonts w:ascii="宋体" w:hAnsi="宋体"/>
          <w:sz w:val="32"/>
        </w:rPr>
      </w:pPr>
      <w:bookmarkStart w:id="11" w:name="_GoBack"/>
      <w:bookmarkEnd w:id="11"/>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0194-2019-2020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879"/>
        <w:gridCol w:w="173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陕西华骏机械制造有限责任公司</w:t>
            </w:r>
            <w:bookmarkEnd w:id="4"/>
          </w:p>
        </w:tc>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4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上官鸿雪</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ISC-2019-0560</w:t>
            </w:r>
            <w:bookmarkEnd w:id="6"/>
          </w:p>
        </w:tc>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4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7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bookmarkStart w:id="8" w:name="监督次数"/>
            <w:r>
              <w:rPr>
                <w:rFonts w:hint="eastAsia" w:cs="宋体" w:asciiTheme="minorEastAsia" w:hAnsiTheme="minorEastAsia"/>
                <w:kern w:val="0"/>
                <w:szCs w:val="21"/>
                <w:lang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eastAsia="zh-CN"/>
              </w:rPr>
              <w:t>次监督审核</w:t>
            </w:r>
          </w:p>
        </w:tc>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46"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2020年12月27日 上午</w:t>
            </w:r>
            <w:bookmarkEnd w:id="9"/>
            <w:r>
              <w:rPr>
                <w:rFonts w:hint="eastAsia" w:cs="宋体" w:asciiTheme="minorEastAsia" w:hAnsiTheme="minorEastAsia"/>
                <w:kern w:val="0"/>
                <w:szCs w:val="21"/>
                <w:lang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7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孙保健</w:t>
            </w:r>
            <w:r>
              <w:rPr>
                <w:rFonts w:ascii="宋体" w:hAnsi="宋体"/>
                <w:color w:val="000000"/>
                <w:szCs w:val="21"/>
                <w:shd w:val="pct10" w:color="auto" w:fill="FFFFFF"/>
              </w:rPr>
              <w:t>中认协评[2020]44 号ISC[S]0176</w:t>
            </w:r>
          </w:p>
        </w:tc>
        <w:tc>
          <w:tcPr>
            <w:tcW w:w="173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4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质量管理部、销售部、采购部、技术部、生产制造部、计量室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为有效评价公司测量管理体系认证后一年以来运行情况，</w:t>
      </w:r>
      <w:r>
        <w:rPr>
          <w:rFonts w:hint="eastAsia" w:cs="宋体" w:asciiTheme="minorEastAsia" w:hAnsiTheme="minorEastAsia"/>
          <w:bCs/>
          <w:kern w:val="0"/>
          <w:szCs w:val="21"/>
          <w:lang w:eastAsia="zh-CN"/>
        </w:rPr>
        <w:t>2020年</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lang w:eastAsia="zh-CN"/>
        </w:rPr>
        <w:t>月2</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lang w:eastAsia="zh-CN"/>
        </w:rPr>
        <w:t>日</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（0/</w:t>
      </w:r>
      <w:r>
        <w:rPr>
          <w:rFonts w:hint="eastAsia" w:ascii="宋体" w:hAnsi="宋体"/>
          <w:szCs w:val="21"/>
          <w:lang w:val="en-US" w:eastAsia="zh-CN"/>
        </w:rPr>
        <w:t>A</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w:t>
      </w:r>
      <w:r>
        <w:rPr>
          <w:rFonts w:hint="eastAsia" w:cs="宋体" w:asciiTheme="minorEastAsia" w:hAnsiTheme="minorEastAsia"/>
          <w:bCs/>
          <w:kern w:val="0"/>
          <w:szCs w:val="21"/>
          <w:lang w:val="en-US" w:eastAsia="zh-CN"/>
        </w:rPr>
        <w:t>2020年全年能耗折合标煤</w:t>
      </w:r>
      <w:r>
        <w:rPr>
          <w:rFonts w:hint="eastAsia" w:cs="宋体" w:asciiTheme="minorEastAsia" w:hAnsiTheme="minorEastAsia"/>
          <w:bCs/>
          <w:color w:val="000000" w:themeColor="text1"/>
          <w:kern w:val="0"/>
          <w:szCs w:val="21"/>
          <w:lang w:val="en-US" w:eastAsia="zh-CN"/>
        </w:rPr>
        <w:t>258</w:t>
      </w:r>
      <w:r>
        <w:rPr>
          <w:rFonts w:hint="eastAsia" w:cs="宋体" w:asciiTheme="minorEastAsia" w:hAnsiTheme="minorEastAsia"/>
          <w:bCs/>
          <w:kern w:val="0"/>
          <w:szCs w:val="21"/>
          <w:lang w:val="en-US" w:eastAsia="zh-CN"/>
        </w:rPr>
        <w:t>吨。</w:t>
      </w:r>
      <w:r>
        <w:rPr>
          <w:rFonts w:hint="eastAsia" w:cs="宋体" w:asciiTheme="minorEastAsia" w:hAnsiTheme="minorEastAsia"/>
          <w:bCs/>
          <w:kern w:val="0"/>
          <w:szCs w:val="21"/>
        </w:rPr>
        <w:t>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15-16</w:t>
      </w:r>
      <w:r>
        <w:rPr>
          <w:rFonts w:hint="eastAsia" w:cs="宋体" w:asciiTheme="minorEastAsia" w:hAnsiTheme="minorEastAsia"/>
          <w:bCs/>
          <w:kern w:val="0"/>
          <w:szCs w:val="21"/>
        </w:rPr>
        <w:t>日 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项不符合项（一般不符合）制定了纠正措施，并进行了整改。20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25</w:t>
      </w:r>
      <w:r>
        <w:rPr>
          <w:rFonts w:hint="eastAsia" w:cs="宋体" w:asciiTheme="minorEastAsia" w:hAnsiTheme="minorEastAsia"/>
          <w:bCs/>
          <w:kern w:val="0"/>
          <w:szCs w:val="21"/>
        </w:rPr>
        <w:t>日进行了管理评审，对测量管理体系进行了有效评价，确保了测量管理体系的运行质量。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陕西华骏机械制造有限责任公司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2020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个关键测量过程：</w:t>
      </w:r>
      <w:r>
        <w:rPr>
          <w:rFonts w:hint="eastAsia" w:ascii="宋体" w:hAnsi="宋体" w:eastAsia="宋体" w:cs="宋体"/>
          <w:kern w:val="0"/>
          <w:szCs w:val="21"/>
        </w:rPr>
        <w:t>《</w:t>
      </w:r>
      <w:r>
        <w:rPr>
          <w:rFonts w:hint="eastAsia" w:ascii="宋体" w:hAnsi="宋体" w:cs="宋体"/>
          <w:kern w:val="0"/>
          <w:szCs w:val="21"/>
          <w:lang w:val="en-US" w:eastAsia="zh-CN"/>
        </w:rPr>
        <w:t>原材料碳成分检测</w:t>
      </w:r>
      <w:r>
        <w:rPr>
          <w:rFonts w:hint="eastAsia" w:ascii="Times New Roman" w:hAnsi="Times New Roman" w:cs="Times New Roman"/>
        </w:rPr>
        <w:t>测量过程</w:t>
      </w:r>
      <w:r>
        <w:rPr>
          <w:rFonts w:hint="eastAsia" w:ascii="宋体" w:hAnsi="宋体" w:eastAsia="宋体" w:cs="宋体"/>
        </w:rPr>
        <w:t>》</w:t>
      </w:r>
      <w:r>
        <w:rPr>
          <w:rFonts w:hint="eastAsia" w:cs="宋体" w:asciiTheme="minorEastAsia" w:hAnsiTheme="minorEastAsia"/>
          <w:kern w:val="0"/>
          <w:szCs w:val="21"/>
          <w:lang w:eastAsia="zh-CN"/>
        </w:rPr>
        <w:t>，</w:t>
      </w:r>
      <w:r>
        <w:rPr>
          <w:rFonts w:hint="eastAsia" w:cs="宋体" w:asciiTheme="minorEastAsia" w:hAnsiTheme="minorEastAsia"/>
          <w:kern w:val="0"/>
          <w:szCs w:val="21"/>
        </w:rPr>
        <w:t>体系运行</w:t>
      </w:r>
      <w:r>
        <w:rPr>
          <w:rFonts w:hint="eastAsia" w:cs="宋体" w:asciiTheme="minorEastAsia" w:hAnsiTheme="minorEastAsia"/>
          <w:kern w:val="0"/>
          <w:szCs w:val="21"/>
          <w:lang w:val="en-US" w:eastAsia="zh-CN"/>
        </w:rPr>
        <w:t>在新的</w:t>
      </w:r>
      <w:r>
        <w:rPr>
          <w:rFonts w:hint="eastAsia" w:cs="宋体" w:asciiTheme="minorEastAsia" w:hAnsiTheme="minorEastAsia"/>
          <w:kern w:val="0"/>
          <w:szCs w:val="21"/>
        </w:rPr>
        <w:t>一年来未有新增测量过程，对高度控制的测量过程能进行有效性控制、监视，记录、监视控制图齐全，完整；抽查了</w:t>
      </w:r>
      <w:r>
        <w:rPr>
          <w:rFonts w:hint="eastAsia" w:ascii="宋体" w:hAnsi="宋体" w:eastAsia="宋体" w:cs="宋体"/>
          <w:kern w:val="0"/>
          <w:szCs w:val="21"/>
        </w:rPr>
        <w:t>《</w:t>
      </w:r>
      <w:r>
        <w:rPr>
          <w:rFonts w:hint="eastAsia" w:ascii="Times New Roman" w:hAnsi="Times New Roman" w:eastAsia="宋体" w:cs="Times New Roman"/>
          <w:lang w:eastAsia="zh-CN"/>
        </w:rPr>
        <w:t>原材料碳成分检测测量过程</w:t>
      </w:r>
      <w:r>
        <w:rPr>
          <w:rFonts w:hint="eastAsia" w:ascii="宋体" w:hAnsi="宋体" w:eastAsia="宋体" w:cs="宋体"/>
        </w:rPr>
        <w:t>》</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spacing w:line="360" w:lineRule="auto"/>
        <w:ind w:left="210" w:leftChars="100" w:firstLine="420" w:firstLineChars="200"/>
        <w:rPr>
          <w:rFonts w:hint="default" w:ascii="宋体" w:hAnsi="宋体" w:eastAsia="宋体"/>
          <w:szCs w:val="21"/>
          <w:lang w:val="en-US" w:eastAsia="zh-CN"/>
        </w:rPr>
      </w:pPr>
      <w:r>
        <w:rPr>
          <w:rFonts w:hint="eastAsia" w:cs="宋体"/>
          <w:kern w:val="0"/>
        </w:rPr>
        <w:t>公司已针对上一年度开具的不符合项已采取有效措施，已关闭。</w:t>
      </w:r>
      <w:r>
        <w:rPr>
          <w:rFonts w:hint="eastAsia" w:cs="宋体"/>
          <w:kern w:val="0"/>
          <w:lang w:val="en-US" w:eastAsia="zh-CN"/>
        </w:rPr>
        <w:t>1</w:t>
      </w:r>
      <w:r>
        <w:rPr>
          <w:rFonts w:hint="eastAsia" w:ascii="宋体" w:hAnsi="宋体"/>
          <w:szCs w:val="21"/>
          <w:lang w:eastAsia="zh-CN"/>
        </w:rPr>
        <w:t>查</w:t>
      </w:r>
      <w:r>
        <w:rPr>
          <w:rFonts w:hint="eastAsia" w:ascii="宋体" w:hAnsi="宋体"/>
          <w:szCs w:val="21"/>
          <w:lang w:val="en-US" w:eastAsia="zh-CN"/>
        </w:rPr>
        <w:t>VOLVO专项产品《</w:t>
      </w:r>
      <w:r>
        <w:rPr>
          <w:rFonts w:hint="eastAsia" w:ascii="宋体" w:hAnsi="宋体"/>
          <w:szCs w:val="21"/>
          <w:lang w:eastAsia="zh-CN"/>
        </w:rPr>
        <w:t>机械加工作业指导书</w:t>
      </w:r>
      <w:r>
        <w:rPr>
          <w:rFonts w:hint="eastAsia" w:ascii="宋体" w:hAnsi="宋体"/>
          <w:szCs w:val="21"/>
          <w:lang w:val="en-US" w:eastAsia="zh-CN"/>
        </w:rPr>
        <w:t>》，VZG/JKS-04专用检具未纳入测量设备台账管理。</w:t>
      </w:r>
      <w:r>
        <w:rPr>
          <w:rFonts w:hint="eastAsia" w:ascii="宋体" w:hAnsi="宋体" w:eastAsia="宋体" w:cs="宋体"/>
          <w:szCs w:val="21"/>
          <w:lang w:val="en-US" w:eastAsia="zh-CN"/>
        </w:rPr>
        <w:t>(</w:t>
      </w:r>
      <w:r>
        <w:rPr>
          <w:rFonts w:hint="eastAsia" w:ascii="宋体" w:hAnsi="宋体" w:eastAsia="宋体"/>
          <w:szCs w:val="21"/>
          <w:lang w:val="en-US" w:eastAsia="zh-CN"/>
        </w:rPr>
        <w:t>在测量设备台账中已更新</w:t>
      </w:r>
      <w:r>
        <w:rPr>
          <w:rFonts w:hint="eastAsia" w:ascii="宋体" w:hAnsi="宋体" w:eastAsia="宋体" w:cs="宋体"/>
          <w:szCs w:val="21"/>
          <w:lang w:val="en-US" w:eastAsia="zh-CN"/>
        </w:rPr>
        <w:t>)</w:t>
      </w:r>
      <w:r>
        <w:rPr>
          <w:rFonts w:hint="eastAsia" w:ascii="宋体" w:hAnsi="宋体" w:eastAsia="宋体"/>
          <w:szCs w:val="21"/>
          <w:lang w:val="en-US" w:eastAsia="zh-CN"/>
        </w:rPr>
        <w:t>。</w:t>
      </w:r>
      <w:r>
        <w:rPr>
          <w:rFonts w:hint="eastAsia" w:cs="宋体"/>
          <w:kern w:val="0"/>
          <w:lang w:val="en-US" w:eastAsia="zh-CN"/>
        </w:rPr>
        <w:t>2</w:t>
      </w:r>
      <w:r>
        <w:rPr>
          <w:rFonts w:hint="eastAsia"/>
          <w:bCs/>
          <w:szCs w:val="21"/>
          <w:lang w:eastAsia="zh-CN"/>
        </w:rPr>
        <w:t>编号：</w:t>
      </w:r>
      <w:r>
        <w:rPr>
          <w:rFonts w:hint="eastAsia"/>
          <w:bCs/>
          <w:szCs w:val="21"/>
          <w:lang w:val="en-US" w:eastAsia="zh-CN"/>
        </w:rPr>
        <w:t>071113110058 可见分光光度计，校准日期：2019.8.14；</w:t>
      </w:r>
      <w:r>
        <w:rPr>
          <w:rFonts w:hint="eastAsia" w:ascii="宋体" w:hAnsi="宋体" w:eastAsia="宋体"/>
          <w:szCs w:val="21"/>
          <w:lang w:eastAsia="zh-CN"/>
        </w:rPr>
        <w:t>未对校准结果按照钢材成分分析计量要求实施验证</w:t>
      </w:r>
      <w:r>
        <w:rPr>
          <w:rFonts w:hint="eastAsia" w:ascii="宋体" w:hAnsi="宋体" w:eastAsia="宋体"/>
          <w:szCs w:val="21"/>
          <w:lang w:val="en-US" w:eastAsia="zh-CN"/>
        </w:rPr>
        <w:t>.</w:t>
      </w:r>
      <w:r>
        <w:rPr>
          <w:rFonts w:hint="eastAsia" w:ascii="宋体" w:hAnsi="宋体" w:eastAsia="宋体" w:cs="宋体"/>
          <w:szCs w:val="21"/>
          <w:lang w:val="en-US" w:eastAsia="zh-CN"/>
        </w:rPr>
        <w:t>(</w:t>
      </w:r>
      <w:r>
        <w:rPr>
          <w:rFonts w:hint="eastAsia" w:ascii="宋体" w:hAnsi="宋体" w:eastAsia="宋体"/>
          <w:szCs w:val="21"/>
          <w:lang w:val="en-US" w:eastAsia="zh-CN"/>
        </w:rPr>
        <w:t>见到了</w:t>
      </w:r>
      <w:r>
        <w:rPr>
          <w:rFonts w:hint="eastAsia"/>
          <w:bCs/>
          <w:szCs w:val="21"/>
          <w:lang w:val="en-US" w:eastAsia="zh-CN"/>
        </w:rPr>
        <w:t>071113110058 可见分光光度计的计量确认记录和验证记录</w:t>
      </w:r>
      <w:r>
        <w:rPr>
          <w:rFonts w:hint="eastAsia" w:ascii="宋体" w:hAnsi="宋体" w:eastAsia="宋体" w:cs="宋体"/>
          <w:szCs w:val="21"/>
          <w:lang w:val="en-US" w:eastAsia="zh-CN"/>
        </w:rPr>
        <w:t>)</w:t>
      </w:r>
    </w:p>
    <w:p>
      <w:pPr>
        <w:pStyle w:val="9"/>
        <w:widowControl/>
        <w:spacing w:line="360" w:lineRule="auto"/>
        <w:ind w:left="0" w:leftChars="0" w:firstLine="0" w:firstLineChars="0"/>
        <w:jc w:val="left"/>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该公司</w:t>
      </w:r>
      <w:r>
        <w:rPr>
          <w:rFonts w:hint="eastAsia" w:hAnsi="DFKai-SB"/>
          <w:color w:val="000000" w:themeColor="text1"/>
          <w:szCs w:val="21"/>
          <w:lang w:val="en-US" w:eastAsia="zh-CN"/>
        </w:rPr>
        <w:t>2020年全年能耗：258吨标准煤。</w:t>
      </w:r>
      <w:r>
        <w:rPr>
          <w:rFonts w:hint="eastAsia" w:asciiTheme="minorEastAsia" w:hAnsiTheme="minorEastAsia"/>
          <w:bCs/>
          <w:color w:val="000000" w:themeColor="text1"/>
          <w:szCs w:val="21"/>
        </w:rPr>
        <w:t>不属于重点能耗企业，已经按要求统计公司水电气总能耗</w:t>
      </w:r>
      <w:r>
        <w:rPr>
          <w:rFonts w:hint="eastAsia" w:asciiTheme="minorEastAsia" w:hAnsiTheme="minorEastAsia"/>
          <w:bCs/>
          <w:color w:val="000000" w:themeColor="text1"/>
          <w:szCs w:val="21"/>
          <w:lang w:eastAsia="zh-CN"/>
        </w:rPr>
        <w:t>，</w:t>
      </w:r>
      <w:r>
        <w:rPr>
          <w:rFonts w:hint="eastAsia" w:asciiTheme="minorEastAsia" w:hAnsiTheme="minorEastAsia"/>
          <w:bCs/>
          <w:color w:val="000000" w:themeColor="text1"/>
          <w:szCs w:val="21"/>
        </w:rPr>
        <w:t>建立了能源计量器台账；能源计量器具已纳入测量体系管理。</w:t>
      </w:r>
    </w:p>
    <w:p>
      <w:pPr>
        <w:pStyle w:val="9"/>
        <w:widowControl/>
        <w:numPr>
          <w:ilvl w:val="0"/>
          <w:numId w:val="0"/>
        </w:numPr>
        <w:spacing w:line="360" w:lineRule="auto"/>
        <w:ind w:leftChars="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lang w:val="en-US" w:eastAsia="zh-CN"/>
        </w:rPr>
        <w:t>7.</w:t>
      </w:r>
      <w:r>
        <w:rPr>
          <w:rFonts w:hint="eastAsia" w:cs="宋体" w:asciiTheme="minorEastAsia" w:hAnsiTheme="minorEastAsia"/>
          <w:bCs/>
          <w:color w:val="000000" w:themeColor="text1"/>
          <w:kern w:val="0"/>
          <w:szCs w:val="21"/>
        </w:rPr>
        <w:t>对投诉的处理</w:t>
      </w:r>
      <w:r>
        <w:rPr>
          <w:rFonts w:cs="宋体" w:asciiTheme="minorEastAsia" w:hAnsiTheme="minorEastAsia"/>
          <w:bCs/>
          <w:color w:val="000000" w:themeColor="text1"/>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4</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ascii="宋体" w:hAnsi="宋体" w:eastAsia="宋体" w:cs="宋体"/>
          <w:kern w:val="0"/>
          <w:szCs w:val="21"/>
        </w:rPr>
      </w:pPr>
      <w:r>
        <w:rPr>
          <w:rFonts w:hint="eastAsia" w:ascii="宋体" w:hAnsi="宋体" w:eastAsia="宋体" w:cs="宋体"/>
          <w:kern w:val="0"/>
          <w:szCs w:val="21"/>
        </w:rPr>
        <w:t>10.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spacing w:line="440" w:lineRule="exact"/>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10.1 </w:t>
      </w:r>
      <w:r>
        <w:rPr>
          <w:rFonts w:hint="eastAsia" w:ascii="宋体" w:hAnsi="宋体"/>
          <w:color w:val="000000" w:themeColor="text1"/>
          <w:szCs w:val="21"/>
          <w:lang w:eastAsia="zh-CN"/>
        </w:rPr>
        <w:t>查</w:t>
      </w:r>
      <w:r>
        <w:rPr>
          <w:rFonts w:hint="eastAsia" w:ascii="宋体" w:hAnsi="宋体"/>
          <w:color w:val="000000" w:themeColor="text1"/>
          <w:szCs w:val="21"/>
          <w:lang w:val="en-US" w:eastAsia="zh-CN"/>
        </w:rPr>
        <w:t>质量管理部</w:t>
      </w:r>
      <w:r>
        <w:rPr>
          <w:rFonts w:hint="eastAsia" w:ascii="宋体" w:hAnsi="宋体"/>
          <w:color w:val="000000" w:themeColor="text1"/>
          <w:szCs w:val="21"/>
          <w:lang w:eastAsia="zh-CN"/>
        </w:rPr>
        <w:t>，</w:t>
      </w:r>
      <w:r>
        <w:rPr>
          <w:rFonts w:hint="eastAsia"/>
          <w:color w:val="000000" w:themeColor="text1"/>
          <w:szCs w:val="21"/>
          <w:lang w:eastAsia="zh-CN"/>
        </w:rPr>
        <w:t>编号</w:t>
      </w:r>
      <w:r>
        <w:rPr>
          <w:rFonts w:hint="eastAsia"/>
          <w:color w:val="000000" w:themeColor="text1"/>
          <w:szCs w:val="21"/>
          <w:lang w:val="en-US" w:eastAsia="zh-CN"/>
        </w:rPr>
        <w:t xml:space="preserve">59119，型号/规格 </w:t>
      </w:r>
      <w:r>
        <w:rPr>
          <w:rFonts w:hint="eastAsia" w:ascii="宋体" w:hAnsi="宋体" w:eastAsia="宋体" w:cs="宋体"/>
          <w:color w:val="000000" w:themeColor="text1"/>
          <w:szCs w:val="21"/>
          <w:lang w:val="en-US" w:eastAsia="zh-CN"/>
        </w:rPr>
        <w:t>(0-25mm/0.01mm)的外径千分尺</w:t>
      </w:r>
      <w:r>
        <w:rPr>
          <w:rFonts w:hint="eastAsia"/>
          <w:color w:val="000000" w:themeColor="text1"/>
          <w:szCs w:val="21"/>
          <w:lang w:val="en-US" w:eastAsia="zh-CN"/>
        </w:rPr>
        <w:t>，使用的是校准证书：未见到确认记录</w:t>
      </w:r>
      <w:r>
        <w:rPr>
          <w:rFonts w:hint="eastAsia" w:ascii="宋体" w:hAnsi="宋体" w:eastAsia="宋体" w:cs="Times New Roman"/>
          <w:color w:val="000000" w:themeColor="text1"/>
          <w:szCs w:val="21"/>
          <w:lang w:val="en-US" w:eastAsia="zh-CN"/>
        </w:rPr>
        <w:t>，不符合GB/T 19022-2003  7.1.1之规定。</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通过2020年</w:t>
      </w:r>
      <w:r>
        <w:rPr>
          <w:rFonts w:hint="eastAsia" w:ascii="宋体" w:hAnsi="宋体" w:eastAsia="宋体" w:cs="宋体"/>
          <w:bCs/>
          <w:kern w:val="0"/>
          <w:szCs w:val="21"/>
          <w:lang w:val="en-US" w:eastAsia="zh-CN"/>
        </w:rPr>
        <w:t>12</w:t>
      </w:r>
      <w:r>
        <w:rPr>
          <w:rFonts w:hint="eastAsia" w:ascii="宋体" w:hAnsi="宋体" w:eastAsia="宋体" w:cs="宋体"/>
          <w:bCs/>
          <w:kern w:val="0"/>
          <w:szCs w:val="21"/>
          <w:lang w:eastAsia="zh-CN"/>
        </w:rPr>
        <w:t>月2</w:t>
      </w:r>
      <w:r>
        <w:rPr>
          <w:rFonts w:hint="eastAsia" w:ascii="宋体" w:hAnsi="宋体" w:eastAsia="宋体" w:cs="宋体"/>
          <w:bCs/>
          <w:kern w:val="0"/>
          <w:szCs w:val="21"/>
          <w:lang w:val="en-US" w:eastAsia="zh-CN"/>
        </w:rPr>
        <w:t>7</w:t>
      </w:r>
      <w:r>
        <w:rPr>
          <w:rFonts w:hint="eastAsia" w:ascii="宋体" w:hAnsi="宋体" w:eastAsia="宋体" w:cs="宋体"/>
          <w:bCs/>
          <w:kern w:val="0"/>
          <w:szCs w:val="21"/>
          <w:lang w:eastAsia="zh-CN"/>
        </w:rPr>
        <w:t>日</w:t>
      </w:r>
      <w:r>
        <w:rPr>
          <w:rFonts w:hint="eastAsia" w:ascii="宋体" w:hAnsi="宋体" w:eastAsia="宋体" w:cs="宋体"/>
          <w:bCs/>
          <w:kern w:val="0"/>
          <w:szCs w:val="21"/>
        </w:rPr>
        <w:t>对</w:t>
      </w:r>
      <w:r>
        <w:rPr>
          <w:rFonts w:hint="eastAsia" w:ascii="宋体" w:hAnsi="宋体" w:eastAsia="宋体"/>
          <w:szCs w:val="21"/>
          <w:lang w:eastAsia="zh-CN"/>
        </w:rPr>
        <w:t>陕西华骏机械制造有限责任公司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陕西华骏机械制造有限责任公司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1"/>
        <w:widowControl/>
        <w:spacing w:line="360" w:lineRule="auto"/>
        <w:ind w:right="55" w:firstLine="420"/>
        <w:rPr>
          <w:rStyle w:val="10"/>
          <w:rFonts w:ascii="宋体" w:hAnsi="宋体" w:eastAsia="宋体"/>
          <w:sz w:val="21"/>
          <w:szCs w:val="21"/>
        </w:rPr>
      </w:pPr>
    </w:p>
    <w:p>
      <w:pPr>
        <w:pStyle w:val="11"/>
        <w:widowControl/>
        <w:spacing w:line="360" w:lineRule="auto"/>
        <w:ind w:right="55" w:firstLine="420"/>
        <w:rPr>
          <w:rFonts w:ascii="宋体" w:hAnsi="宋体" w:eastAsia="宋体" w:cs="黑体"/>
          <w:sz w:val="21"/>
          <w:szCs w:val="21"/>
        </w:rPr>
      </w:pPr>
      <w:r>
        <w:rPr>
          <w:rFonts w:ascii="宋体" w:hAnsi="宋体" w:eastAsia="宋体" w:cs="宋体"/>
          <w:szCs w:val="28"/>
        </w:rPr>
        <w:t>审核员 （签字）：</w:t>
      </w:r>
    </w:p>
    <w:p>
      <w:pPr>
        <w:widowControl/>
        <w:spacing w:line="360" w:lineRule="auto"/>
        <w:ind w:right="1365"/>
        <w:rPr>
          <w:rFonts w:ascii="宋体" w:hAnsi="宋体" w:eastAsia="宋体" w:cs="宋体"/>
          <w:b/>
          <w:bCs/>
          <w:kern w:val="0"/>
          <w:szCs w:val="21"/>
        </w:rPr>
      </w:pPr>
    </w:p>
    <w:p>
      <w:pPr>
        <w:widowControl/>
        <w:spacing w:line="36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780" w:firstLineChars="1800"/>
        <w:jc w:val="left"/>
        <w:rPr>
          <w:rFonts w:hint="eastAsia" w:ascii="宋体" w:hAnsi="宋体" w:eastAsia="宋体" w:cs="宋体"/>
          <w:kern w:val="0"/>
          <w:szCs w:val="28"/>
          <w:lang w:val="en-US" w:eastAsia="zh-CN"/>
        </w:rPr>
      </w:pPr>
      <w:r>
        <w:rPr>
          <w:rFonts w:hint="eastAsia" w:ascii="宋体" w:hAnsi="宋体" w:eastAsia="宋体" w:cs="宋体"/>
          <w:kern w:val="0"/>
          <w:szCs w:val="28"/>
        </w:rPr>
        <w:t>审查人员（签字）：             日期：</w:t>
      </w:r>
      <w:r>
        <w:rPr>
          <w:rFonts w:hint="eastAsia" w:ascii="宋体" w:hAnsi="宋体" w:eastAsia="宋体" w:cs="宋体"/>
          <w:kern w:val="0"/>
          <w:szCs w:val="28"/>
          <w:lang w:val="en-US" w:eastAsia="zh-CN"/>
        </w:rPr>
        <w:t xml:space="preserve">   </w:t>
      </w:r>
    </w:p>
    <w:p>
      <w:pPr>
        <w:widowControl/>
        <w:spacing w:line="360" w:lineRule="auto"/>
        <w:ind w:right="1050"/>
        <w:rPr>
          <w:rFonts w:ascii="宋体" w:hAnsi="宋体" w:eastAsia="宋体" w:cs="宋体"/>
          <w:b/>
          <w:bCs/>
          <w:kern w:val="0"/>
          <w:szCs w:val="21"/>
        </w:rPr>
      </w:pPr>
    </w:p>
    <w:p>
      <w:pPr>
        <w:widowControl/>
        <w:spacing w:line="36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360" w:lineRule="auto"/>
        <w:ind w:right="360"/>
        <w:rPr>
          <w:rFonts w:ascii="Times New Roman" w:hAnsi="Times New Roman" w:eastAsia="宋体" w:cs="Times New Roman"/>
          <w:bCs/>
          <w:kern w:val="0"/>
          <w:sz w:val="18"/>
          <w:szCs w:val="1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panose1 w:val="03000509000000000000"/>
    <w:charset w:val="88"/>
    <w:family w:val="script"/>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16BD0"/>
    <w:rsid w:val="127A288A"/>
    <w:rsid w:val="18DF1E3A"/>
    <w:rsid w:val="21D01865"/>
    <w:rsid w:val="2DF5179D"/>
    <w:rsid w:val="3A50190F"/>
    <w:rsid w:val="3E7F1F6B"/>
    <w:rsid w:val="531C185B"/>
    <w:rsid w:val="573D5691"/>
    <w:rsid w:val="577C42F8"/>
    <w:rsid w:val="75154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Style52"/>
    <w:basedOn w:val="1"/>
    <w:qFormat/>
    <w:uiPriority w:val="0"/>
    <w:pPr>
      <w:adjustRightInd w:val="0"/>
      <w:jc w:val="left"/>
    </w:pPr>
    <w:rPr>
      <w:rFonts w:ascii="黑体" w:hAnsi="Times New Roman" w:eastAsia="黑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11</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2020-12-27T02:23:49Z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