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63"/>
        <w:gridCol w:w="370"/>
        <w:gridCol w:w="2170"/>
        <w:gridCol w:w="870"/>
        <w:gridCol w:w="580"/>
        <w:gridCol w:w="840"/>
        <w:gridCol w:w="85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0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原材料碳成分检测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</w:tc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38" w:type="dxa"/>
            <w:vAlign w:val="center"/>
          </w:tcPr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△</w:t>
            </w:r>
            <w:r>
              <w:rPr>
                <w:rFonts w:hint="eastAsia" w:ascii="宋体" w:hAnsi="宋体"/>
                <w:vertAlign w:val="subscript"/>
              </w:rPr>
              <w:t>允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7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hAnsi="宋体"/>
                <w:lang w:val="en-US" w:eastAsia="zh-CN"/>
              </w:rPr>
              <w:t xml:space="preserve">±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0.03%</w:t>
            </w:r>
          </w:p>
        </w:tc>
        <w:tc>
          <w:tcPr>
            <w:tcW w:w="145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5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22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</w:t>
            </w:r>
          </w:p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红外碳硫分析仪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黑体" w:hAnsi="黑体" w:eastAsia="黑体"/>
              </w:rPr>
              <w:t>(0.00001-10.0000)%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bCs/>
                <w:color w:val="000000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lang w:val="en-US" w:eastAsia="zh-CN"/>
              </w:rPr>
              <w:t>0.010%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73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MD/HJ-JS-III01-2019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MD/HJ-JS-III01-2019《原材料碳成分检测过程控制规范》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spacing w:line="36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相对湿度：小于75%HRC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华文楷体" w:hAnsi="华文楷体" w:eastAsia="华文楷体" w:cs="华文楷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张娜娜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方法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原材料碳硫成分检测过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80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40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2020-12-26T07:16:40Z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